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b w:val="1"/>
          <w:position w:val="0"/>
          <w:sz w:val="28"/>
          <w:szCs w:val="28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 xml:space="preserve">  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 xml:space="preserve"> 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i w:val="1"/>
          <w:b w:val="1"/>
          <w:position w:val="0"/>
          <w:sz w:val="32"/>
          <w:szCs w:val="32"/>
          <w:u w:val="single"/>
          <w:rFonts w:ascii="Arial" w:eastAsia="Arial" w:hAnsi="Arial" w:hint="default"/>
        </w:rPr>
      </w:pPr>
      <w:r>
        <w:rPr>
          <w:i w:val="1"/>
          <w:b w:val="1"/>
          <w:position w:val="0"/>
          <w:sz w:val="32"/>
          <w:szCs w:val="32"/>
          <w:u w:val="single"/>
          <w:rFonts w:ascii="Arial" w:eastAsia="Arial" w:hAnsi="Arial" w:hint="default"/>
        </w:rPr>
        <w:t xml:space="preserve">Το κράτος πρόνοιας στην Κεντρική Ευρώπη μετά τη </w:t>
      </w:r>
      <w:r>
        <w:rPr>
          <w:i w:val="1"/>
          <w:b w:val="1"/>
          <w:position w:val="0"/>
          <w:sz w:val="32"/>
          <w:szCs w:val="32"/>
          <w:u w:val="single"/>
          <w:rFonts w:ascii="Arial" w:eastAsia="Arial" w:hAnsi="Arial" w:hint="default"/>
        </w:rPr>
        <w:t xml:space="preserve">δεκαετία του 1970: τάσεις μεταβολής και αιτίες</w:t>
      </w: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i w:val="1"/>
          <w:b w:val="1"/>
          <w:position w:val="0"/>
          <w:sz w:val="32"/>
          <w:szCs w:val="32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i w:val="1"/>
          <w:b w:val="1"/>
          <w:position w:val="0"/>
          <w:sz w:val="32"/>
          <w:szCs w:val="32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i w:val="1"/>
          <w:b w:val="1"/>
          <w:position w:val="0"/>
          <w:sz w:val="32"/>
          <w:szCs w:val="32"/>
          <w:u w:val="single"/>
          <w:rFonts w:ascii="Arial" w:eastAsia="Arial" w:hAnsi="Arial" w:hint="default"/>
        </w:rPr>
      </w:pPr>
      <w:r>
        <w:rPr>
          <w:i w:val="1"/>
          <w:b w:val="1"/>
          <w:position w:val="0"/>
          <w:sz w:val="32"/>
          <w:szCs w:val="32"/>
          <w:u w:val="single"/>
          <w:rFonts w:ascii="Arial" w:eastAsia="Arial" w:hAnsi="Arial" w:hint="default"/>
        </w:rPr>
        <w:t xml:space="preserve">Σκορδή Σμαράγδα</w:t>
      </w: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i w:val="1"/>
          <w:b w:val="1"/>
          <w:position w:val="0"/>
          <w:sz w:val="32"/>
          <w:szCs w:val="32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i w:val="1"/>
          <w:b w:val="1"/>
          <w:position w:val="0"/>
          <w:sz w:val="32"/>
          <w:szCs w:val="32"/>
          <w:u w:val="single"/>
          <w:rFonts w:ascii="Arial" w:eastAsia="Arial" w:hAnsi="Arial" w:hint="default"/>
        </w:rPr>
      </w:pPr>
      <w:r>
        <w:rPr>
          <w:i w:val="1"/>
          <w:b w:val="1"/>
          <w:position w:val="0"/>
          <w:sz w:val="32"/>
          <w:szCs w:val="32"/>
          <w:u w:val="single"/>
          <w:rFonts w:ascii="Arial" w:eastAsia="Arial" w:hAnsi="Arial" w:hint="default"/>
        </w:rPr>
        <w:t xml:space="preserve">Ιανουάριος 2015</w:t>
      </w: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i w:val="1"/>
          <w:b w:val="1"/>
          <w:position w:val="0"/>
          <w:sz w:val="32"/>
          <w:szCs w:val="32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i w:val="1"/>
          <w:b w:val="1"/>
          <w:position w:val="0"/>
          <w:sz w:val="32"/>
          <w:szCs w:val="32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i w:val="1"/>
          <w:b w:val="1"/>
          <w:position w:val="0"/>
          <w:sz w:val="32"/>
          <w:szCs w:val="32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i w:val="1"/>
          <w:b w:val="1"/>
          <w:position w:val="0"/>
          <w:sz w:val="32"/>
          <w:szCs w:val="32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i w:val="1"/>
          <w:b w:val="1"/>
          <w:position w:val="0"/>
          <w:sz w:val="32"/>
          <w:szCs w:val="32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i w:val="1"/>
          <w:b w:val="1"/>
          <w:position w:val="0"/>
          <w:sz w:val="32"/>
          <w:szCs w:val="32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i w:val="1"/>
          <w:b w:val="1"/>
          <w:position w:val="0"/>
          <w:sz w:val="32"/>
          <w:szCs w:val="32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i w:val="1"/>
          <w:b w:val="1"/>
          <w:position w:val="0"/>
          <w:sz w:val="32"/>
          <w:szCs w:val="32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i w:val="1"/>
          <w:b w:val="1"/>
          <w:position w:val="0"/>
          <w:sz w:val="32"/>
          <w:szCs w:val="32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i w:val="1"/>
          <w:b w:val="1"/>
          <w:position w:val="0"/>
          <w:sz w:val="32"/>
          <w:szCs w:val="32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i w:val="1"/>
          <w:b w:val="1"/>
          <w:position w:val="0"/>
          <w:sz w:val="32"/>
          <w:szCs w:val="32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i w:val="1"/>
          <w:b w:val="1"/>
          <w:position w:val="0"/>
          <w:sz w:val="32"/>
          <w:szCs w:val="32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i w:val="1"/>
          <w:b w:val="1"/>
          <w:position w:val="0"/>
          <w:sz w:val="32"/>
          <w:szCs w:val="32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b w:val="1"/>
          <w:position w:val="0"/>
          <w:sz w:val="28"/>
          <w:szCs w:val="28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>Περιεχόμενα</w:t>
      </w: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tbl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 w:top="0" w:left="108" w:bottom="0" w:right="108"/>
        <w:tblW w:w="0" w:type="auto"/>
        <w:tblLook w:val="0004A0" w:firstRow="1" w:lastRow="0" w:firstColumn="1" w:lastColumn="0" w:noHBand="0" w:noVBand="1"/>
        <w:tblLayout w:type="fixed"/>
      </w:tblPr>
      <w:tblGrid>
        <w:gridCol w:w="2765"/>
        <w:gridCol w:w="2765"/>
        <w:gridCol w:w="276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2765"/>
            <w:cnfStyle w:val="100000000010" w:firstRow="1" w:lastRow="0" w:firstColumn="0" w:lastColumn="0" w:oddVBand="0" w:evenVBand="0" w:oddHBand="0" w:evenHBand="0" w:firstRowFirstColumn="0" w:firstRowLastColumn="0" w:lastRowFirstColumn="1" w:lastRowLastColumn="0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  <w:r>
              <w:rPr>
                <w:position w:val="0"/>
                <w:sz w:val="24"/>
                <w:szCs w:val="24"/>
                <w:rFonts w:ascii="Arial" w:eastAsia="Arial" w:hAnsi="Arial" w:hint="default"/>
              </w:rPr>
              <w:t>Εισαγωγή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</w:p>
        </w:tc>
        <w:tc>
          <w:tcPr>
            <w:tcW w:type="dxa" w:w="2765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</w:p>
        </w:tc>
        <w:tc>
          <w:tcPr>
            <w:tcW w:type="dxa" w:w="2766"/>
            <w:cnfStyle w:val="100000000001" w:firstRow="1" w:lastRow="0" w:firstColumn="0" w:lastColumn="0" w:oddVBand="0" w:evenVBand="0" w:oddHBand="0" w:evenHBand="0" w:firstRowFirstColumn="0" w:firstRowLastColumn="0" w:lastRowFirstColumn="0" w:lastRowLastColumn="1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  <w:r>
              <w:rPr>
                <w:position w:val="0"/>
                <w:sz w:val="24"/>
                <w:szCs w:val="24"/>
                <w:rFonts w:ascii="Arial" w:eastAsia="Arial" w:hAnsi="Arial" w:hint="default"/>
              </w:rPr>
              <w:t xml:space="preserve">Σελίδα 2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2765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  <w:r>
              <w:rPr>
                <w:position w:val="0"/>
                <w:sz w:val="24"/>
                <w:szCs w:val="24"/>
                <w:rFonts w:ascii="Arial" w:eastAsia="Arial" w:hAnsi="Arial" w:hint="default"/>
              </w:rPr>
              <w:t xml:space="preserve">Η γέννηση του κράτους </w:t>
            </w:r>
            <w:r>
              <w:rPr>
                <w:position w:val="0"/>
                <w:sz w:val="24"/>
                <w:szCs w:val="24"/>
                <w:rFonts w:ascii="Arial" w:eastAsia="Arial" w:hAnsi="Arial" w:hint="default"/>
              </w:rPr>
              <w:t xml:space="preserve">πρόνοιας και οι </w:t>
            </w:r>
            <w:r>
              <w:rPr>
                <w:position w:val="0"/>
                <w:sz w:val="24"/>
                <w:szCs w:val="24"/>
                <w:rFonts w:ascii="Arial" w:eastAsia="Arial" w:hAnsi="Arial" w:hint="default"/>
              </w:rPr>
              <w:t xml:space="preserve">διαφορετικές όψεις του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</w:p>
        </w:tc>
        <w:tc>
          <w:tcPr>
            <w:tcW w:type="dxa" w:w="276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</w:p>
        </w:tc>
        <w:tc>
          <w:tcPr>
            <w:tcW w:type="dxa" w:w="276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  <w:r>
              <w:rPr>
                <w:position w:val="0"/>
                <w:sz w:val="24"/>
                <w:szCs w:val="24"/>
                <w:rFonts w:ascii="Arial" w:eastAsia="Arial" w:hAnsi="Arial" w:hint="default"/>
              </w:rPr>
              <w:t xml:space="preserve">Σελίδα 3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type="dxa" w:w="2765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  <w:r>
              <w:rPr>
                <w:position w:val="0"/>
                <w:sz w:val="24"/>
                <w:szCs w:val="24"/>
                <w:rFonts w:ascii="Arial" w:eastAsia="Arial" w:hAnsi="Arial" w:hint="default"/>
              </w:rPr>
              <w:t xml:space="preserve">Η εξέλιξη του κράτους </w:t>
            </w:r>
            <w:r>
              <w:rPr>
                <w:position w:val="0"/>
                <w:sz w:val="24"/>
                <w:szCs w:val="24"/>
                <w:rFonts w:ascii="Arial" w:eastAsia="Arial" w:hAnsi="Arial" w:hint="default"/>
              </w:rPr>
              <w:t xml:space="preserve">πρόνοιας από την </w:t>
            </w:r>
            <w:r>
              <w:rPr>
                <w:position w:val="0"/>
                <w:sz w:val="24"/>
                <w:szCs w:val="24"/>
                <w:rFonts w:ascii="Arial" w:eastAsia="Arial" w:hAnsi="Arial" w:hint="default"/>
              </w:rPr>
              <w:t xml:space="preserve">απαρχή του μέχρι τη </w:t>
            </w:r>
            <w:r>
              <w:rPr>
                <w:position w:val="0"/>
                <w:sz w:val="24"/>
                <w:szCs w:val="24"/>
                <w:rFonts w:ascii="Arial" w:eastAsia="Arial" w:hAnsi="Arial" w:hint="default"/>
              </w:rPr>
              <w:t xml:space="preserve">δεκαετία του 1970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</w:p>
        </w:tc>
        <w:tc>
          <w:tcPr>
            <w:tcW w:type="dxa" w:w="276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</w:p>
        </w:tc>
        <w:tc>
          <w:tcPr>
            <w:tcW w:type="dxa" w:w="2766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  <w:r>
              <w:rPr>
                <w:position w:val="0"/>
                <w:sz w:val="24"/>
                <w:szCs w:val="24"/>
                <w:rFonts w:ascii="Arial" w:eastAsia="Arial" w:hAnsi="Arial" w:hint="default"/>
              </w:rPr>
              <w:t xml:space="preserve">Σελίδα 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2765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  <w:r>
              <w:rPr>
                <w:position w:val="0"/>
                <w:sz w:val="24"/>
                <w:szCs w:val="24"/>
                <w:rFonts w:ascii="Arial" w:eastAsia="Arial" w:hAnsi="Arial" w:hint="default"/>
              </w:rPr>
              <w:t xml:space="preserve">Παγκοσμιοποίηση, νέες </w:t>
            </w:r>
            <w:r>
              <w:rPr>
                <w:position w:val="0"/>
                <w:sz w:val="24"/>
                <w:szCs w:val="24"/>
                <w:rFonts w:ascii="Arial" w:eastAsia="Arial" w:hAnsi="Arial" w:hint="default"/>
              </w:rPr>
              <w:t xml:space="preserve">μορφές οικονομίας και </w:t>
            </w:r>
            <w:r>
              <w:rPr>
                <w:position w:val="0"/>
                <w:sz w:val="24"/>
                <w:szCs w:val="24"/>
                <w:rFonts w:ascii="Arial" w:eastAsia="Arial" w:hAnsi="Arial" w:hint="default"/>
              </w:rPr>
              <w:t xml:space="preserve">κοινωνικής </w:t>
            </w:r>
            <w:r>
              <w:rPr>
                <w:position w:val="0"/>
                <w:sz w:val="24"/>
                <w:szCs w:val="24"/>
                <w:rFonts w:ascii="Arial" w:eastAsia="Arial" w:hAnsi="Arial" w:hint="default"/>
              </w:rPr>
              <w:t xml:space="preserve">συγκρότησης, και η </w:t>
            </w:r>
            <w:r>
              <w:rPr>
                <w:position w:val="0"/>
                <w:sz w:val="24"/>
                <w:szCs w:val="24"/>
                <w:rFonts w:ascii="Arial" w:eastAsia="Arial" w:hAnsi="Arial" w:hint="default"/>
              </w:rPr>
              <w:t xml:space="preserve">επίδρασή τους στη </w:t>
            </w:r>
            <w:r>
              <w:rPr>
                <w:position w:val="0"/>
                <w:sz w:val="24"/>
                <w:szCs w:val="24"/>
                <w:rFonts w:ascii="Arial" w:eastAsia="Arial" w:hAnsi="Arial" w:hint="default"/>
              </w:rPr>
              <w:t xml:space="preserve">λειτουργία του κράτους </w:t>
            </w:r>
            <w:r>
              <w:rPr>
                <w:position w:val="0"/>
                <w:sz w:val="24"/>
                <w:szCs w:val="24"/>
                <w:rFonts w:ascii="Arial" w:eastAsia="Arial" w:hAnsi="Arial" w:hint="default"/>
              </w:rPr>
              <w:t>πρόνοιας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</w:p>
        </w:tc>
        <w:tc>
          <w:tcPr>
            <w:tcW w:type="dxa" w:w="276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</w:p>
        </w:tc>
        <w:tc>
          <w:tcPr>
            <w:tcW w:type="dxa" w:w="276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  <w:r>
              <w:rPr>
                <w:position w:val="0"/>
                <w:sz w:val="24"/>
                <w:szCs w:val="24"/>
                <w:rFonts w:ascii="Arial" w:eastAsia="Arial" w:hAnsi="Arial" w:hint="default"/>
              </w:rPr>
              <w:t xml:space="preserve">Σελίδα 6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type="dxa" w:w="2765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  <w:r>
              <w:rPr>
                <w:position w:val="0"/>
                <w:sz w:val="24"/>
                <w:szCs w:val="24"/>
                <w:rFonts w:ascii="Arial" w:eastAsia="Arial" w:hAnsi="Arial" w:hint="default"/>
              </w:rPr>
              <w:t>Συμπεράσματα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</w:p>
        </w:tc>
        <w:tc>
          <w:tcPr>
            <w:tcW w:type="dxa" w:w="276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</w:p>
        </w:tc>
        <w:tc>
          <w:tcPr>
            <w:tcW w:type="dxa" w:w="2766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  <w:r>
              <w:rPr>
                <w:position w:val="0"/>
                <w:sz w:val="24"/>
                <w:szCs w:val="24"/>
                <w:rFonts w:ascii="Arial" w:eastAsia="Arial" w:hAnsi="Arial" w:hint="default"/>
              </w:rPr>
              <w:t xml:space="preserve">Σελίδα 13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2765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  <w:r>
              <w:rPr>
                <w:position w:val="0"/>
                <w:sz w:val="24"/>
                <w:szCs w:val="24"/>
                <w:rFonts w:ascii="Arial" w:eastAsia="Arial" w:hAnsi="Arial" w:hint="default"/>
              </w:rPr>
              <w:t>Βιβλιογραφία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</w:p>
        </w:tc>
        <w:tc>
          <w:tcPr>
            <w:tcW w:type="dxa" w:w="276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</w:p>
        </w:tc>
        <w:tc>
          <w:tcPr>
            <w:tcW w:type="dxa" w:w="276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0" w:hanging="0"/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  <w:r>
              <w:rPr>
                <w:position w:val="0"/>
                <w:sz w:val="24"/>
                <w:szCs w:val="24"/>
                <w:rFonts w:ascii="Arial" w:eastAsia="Arial" w:hAnsi="Arial" w:hint="default"/>
              </w:rPr>
              <w:t xml:space="preserve">Σελίδα 15</w:t>
            </w:r>
          </w:p>
        </w:tc>
      </w:tr>
    </w:tbl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b w:val="1"/>
          <w:position w:val="0"/>
          <w:sz w:val="28"/>
          <w:szCs w:val="28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>Εισαγωγή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ab/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Αποτελεί γενική παραδοχή και ανησυχία οι κίνδυνος κατάρρευσης του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Ευρωπαϊκού Κοινωνικού Μοντέλου, ιδιαίτερα κατά τις τελευταίες δεκαετίες.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Είναι επίσης ένα πεδίο συζήτησης και κοινού προβληματισμού   για την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Ελλάδα και τα υπόλοιπα Ευρωπαϊκά κράτη (Σπυρόπουλος,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2003;Giddens,2001) Σε μια εποχή σαν τη δική μας όπου παρατηρείται αύξηση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των ανισοτήτων και γενικότερες οικονομικές και κοινωνικές δυσμενείς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μεταβολές, είναι καιρός να δώσουμε την δέουσα προσοχή στο κράτος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πρόνοιας, το οποίο αποτελεί ένα από τα κυριότερα χαρακτηριστικά των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προηγμένων βιομηχανικών κοινωνιών (Pierson,2001). Μια από τις κυριότερες,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αν όχι η κυριότερη, αιτίες οικοδόμησης των θεσμών κοινωνικής προστασίας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και του κράτους πρόνοιας γενικότερα, ήταν η μεγάλη κρίση του Μεσοπολέμου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και η ολέθρια εμπειρία του 2</w:t>
      </w:r>
      <w:r>
        <w:rPr>
          <w:vertAlign w:val="superscript"/>
          <w:position w:val="0"/>
          <w:sz w:val="24"/>
          <w:szCs w:val="24"/>
          <w:rFonts w:ascii="Arial" w:eastAsia="Arial" w:hAnsi="Arial" w:hint="default"/>
        </w:rPr>
        <w:t>ου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 Παγκοσμίου Πολέμου (Ματσαγγάνης, 2011). </w:t>
      </w:r>
    </w:p>
    <w:p>
      <w:pPr>
        <w:numPr>
          <w:ilvl w:val="0"/>
          <w:numId w:val="0"/>
        </w:numPr>
        <w:jc w:val="both"/>
        <w:spacing w:lineRule="auto" w:line="259" w:before="0" w:after="160"/>
        <w:ind w:firstLine="72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Ο Κατηφόρης (2003) δίνει έναν απλό και κατανοητό ορισμό του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Ευρωπαϊκού Κοινωνικού Μοντέλου το οποίο αποτελείται από 3 στοιχεία: το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πολιτικό στοιχείο, το κράτος πρόνοιας και την απασχόληση. Τα στοιχεία αυτά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απαρτίζουν την κοινωνική και πολιτική μορφή της Ευρώπης. Η πλήρης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απασχόληση κατέρρευσε ως μια συνέπεια της οικονομικής κρίσης στα μέσα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της δεκαετίας του 1970.Αυτό ήταν και το έναυσμα για την ανάπτυξη πολιτικών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κοινωνικής πρόνοιας εκ μέρους των θεσμών της Ευρωπαϊκής Ένωσης.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ab/>
      </w:r>
      <w:r>
        <w:rPr>
          <w:position w:val="0"/>
          <w:sz w:val="24"/>
          <w:szCs w:val="24"/>
          <w:rFonts w:ascii="Arial" w:eastAsia="Arial" w:hAnsi="Arial" w:hint="default"/>
        </w:rPr>
        <w:t xml:space="preserve">Οι προκλήσεις που αντιμετωπίζει η Ενωμένη Ευρώπη, ειδικά κατά τον </w:t>
      </w:r>
      <w:r>
        <w:rPr>
          <w:position w:val="0"/>
          <w:sz w:val="24"/>
          <w:szCs w:val="24"/>
          <w:rFonts w:ascii="Arial" w:eastAsia="Arial" w:hAnsi="Arial" w:hint="default"/>
        </w:rPr>
        <w:t>21</w:t>
      </w:r>
      <w:r>
        <w:rPr>
          <w:vertAlign w:val="superscript"/>
          <w:position w:val="0"/>
          <w:sz w:val="24"/>
          <w:szCs w:val="24"/>
          <w:rFonts w:ascii="Arial" w:eastAsia="Arial" w:hAnsi="Arial" w:hint="default"/>
        </w:rPr>
        <w:t>ο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 αιώνα, και οι οποίες σχετίζονται με τα χαρακτηριστικά της νέας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«παγκοσμιοποιημένης» οικονομίας, κρύβουν τόσο κινδύνους, όσο και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ευκαιρίες για ανάπτυξη. Το Ευρωπαϊκό Κοινωνικό Μοντέλο οφείλει να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προσαρμοστεί και να υποστεί τις απαραίτητες μεταρρυθμίσεις ώστε 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Ευρώπη να ανταπεξέλθει  στις νέες συνθήκες (Κούγιας,2008).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ab/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Κυριαρχούν διάφορες θεωρήσεις σχετικά με την επίδραση της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παγκοσμιοποίησης στην λειτουργία του κράτους πρόνοιας. Κάποιες από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αυτές θεωρούν την παγκοσμιοποίηση σαν την αιτία της χρόνιας κρίσης την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οποία διέρχεται το κράτος πρόνοιας. Άλλες θεωρούν ότι είναι ανεξάρτητη και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δεν προκαλεί καμία επίπτωση, ενώ υπάρχουν και οι απόψεις που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ισχυρίζονται ότι τα προβλήματα του κράτους πρόνοιας έχουν σαν απότοκο τη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συγκεκριμένη μορφή της οικονομίας, η οποία αποτελεί κατά κάποιον τρόπο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και τη λύση τους (Genschel, 2004).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ab/>
      </w:r>
      <w:r>
        <w:rPr>
          <w:position w:val="0"/>
          <w:sz w:val="24"/>
          <w:szCs w:val="24"/>
          <w:rFonts w:ascii="Arial" w:eastAsia="Arial" w:hAnsi="Arial" w:hint="default"/>
        </w:rPr>
        <w:t xml:space="preserve">Δεδομένων των απαιτητικών συνθηκών και των νέων προκλήσεων,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φαίνεται πως επιβάλλεται η αναδιοργάνωση της κοινωνικής πολιτικής ώστε να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προκύψουν κοινές λύσεις στα αμοιβαία προβλήματα των Ευρωπαϊκών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κοινωνιών (Κούγιας, 2008).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i w:val="1"/>
          <w:b w:val="1"/>
          <w:position w:val="0"/>
          <w:sz w:val="32"/>
          <w:szCs w:val="32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b w:val="1"/>
          <w:position w:val="0"/>
          <w:sz w:val="28"/>
          <w:szCs w:val="28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 xml:space="preserve">Η γέννηση του κράτους πρόνοιας και οι διαφορετικές όψεις του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ab/>
      </w:r>
      <w:r>
        <w:rPr>
          <w:position w:val="0"/>
          <w:sz w:val="24"/>
          <w:szCs w:val="24"/>
          <w:rFonts w:ascii="Arial" w:eastAsia="Arial" w:hAnsi="Arial" w:hint="default"/>
        </w:rPr>
        <w:t xml:space="preserve">Όταν αναφερόμαστε στον όρο «κράτος πρόνοιας» δεν εννοούμε ένα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ξεχωριστό κράτος, μια ιδιαίτερη υποκατηγορία. Εννοούμε το αστικό, εθνικό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κράτος που χαρακτηρίζεται από ευρεία κοινωνική λειτουργία και είναι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υπεύθυνο για την προάσπιση των κοινωνικών δικαιωμάτων των πολιτών του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και την επίτευξη της ευημερίας τους. Περιγράφοντας το Ευρωπαϊκό κράτος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πρόνοιας, τους στόχους και τις πολιτικές του, αναφερόμαστε συνήθως σε ένα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νοητό πρότυπο που πλησιάζουν κατά μικρότερο ή μεγαλύτερο βαθμό τα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υφιστάμενα καπιταλιστικά κράτη. Ωστόσο, κοινωνική πολιτική ασκούν και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κοινωνίες που δεν βασίζονται στον καπιταλιστικό τρόπο παραγωγής και όπου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ο τρόπος οργάνωσης και άσκησης της εξουσίας διαφέρει από αυτές των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καπιταλιστικών χωρών (Στασινοπούλου, 2006).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ab/>
      </w:r>
      <w:r>
        <w:rPr>
          <w:position w:val="0"/>
          <w:sz w:val="24"/>
          <w:szCs w:val="24"/>
          <w:rFonts w:ascii="Arial" w:eastAsia="Arial" w:hAnsi="Arial" w:hint="default"/>
        </w:rPr>
        <w:t xml:space="preserve">Οι μεταρρυθμίσεις που έλαβαν χώρα στα τέλη του 19</w:t>
      </w:r>
      <w:r>
        <w:rPr>
          <w:vertAlign w:val="superscript"/>
          <w:position w:val="0"/>
          <w:sz w:val="24"/>
          <w:szCs w:val="24"/>
          <w:rFonts w:ascii="Arial" w:eastAsia="Arial" w:hAnsi="Arial" w:hint="default"/>
        </w:rPr>
        <w:t>ου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 αιώνα, στον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τομέα της κοινωνικής προστασίας αλλά ο ιδεολογικός ανταγωνισμός μεταξύ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φιλελευθέρων και σοσιαλδημοκρατών που οδήγησε στη μορφοποίηση των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μοντέλων κοινωνικής πρόνοιας κατά την περίοδο του μεσοπολέμου, μπορούν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να χαρακτηριστούν ως οι απαρχές του κράτους πρόνοιας, το σημείο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εκκίνησης και γέννησής του (Esping- Andersen et al., 2006). Εξαρχής το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κράτος πρόνοιας αποσκοπούσε στην επίτευξη και διατήρηση της κοινωνικής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ειρήνης, σαν απάντηση στο αίτημα για παροχή διευρυμένης κοινωνικής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προστασίας στην εργατική τάξη. Αυτό δεν κατορθώθηκε εύκολα, αλλά πέρασε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μέσα από διαμάχες, πιέσεις και συνδιαλλαγές (Στασινοπούλου, 2006).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ab/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Αν και η κεντρική ιδέα του τι είναι και ποια η λειτουργία του κράτους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πρόνοιας παραμένει η ίδια, ωστόσο οι εκφράσεις του και τα μοντέλα πολιτικής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που ακολουθούνται στα διάφορα κράτη διαφέρουν . Οι εκφράσεις και οι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«τύποι» αυτοί έχουν διαχωρισθεί σε τρεις κύριες κατηγορίες: το υπολειμματικό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(residual), το βιομηχανικό (industrial- achievement performance) και το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θεσμικό-αναδιανεμητικό (institutional-redistributive) πρότυπο. 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κατηγοριοποίηση αυτή, την οποία για πρώτη φορά επινόησε ο Titmuss (1974),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βασίζεται κυρίως στη σχέση μεταξύ αγοράς, οικογένειας και κράτους στην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προσφορά κοινωνικής μέριμνας και προστασίας.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ab/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Σύμφωνα με το υπολειμματικό πρότυπο,  η οικογένεια είναι υπεύθυνη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να καλύψει τις ανάγκες του ατόμου, σε συνεργασία με την αγορά. Όταν αυτό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δεν είναι εφικτό, τότε και μόνο τότε παρεμβαίνει ο κράτος για να παρέχει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κοινωνική προστασία. Οι άνθρωποι, όπως υποδεικνύει το μοντέλο αυτό,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πρέπει να μάθουν να επιβιώνουν μόνοι τους χωρίς τη βοήθεια του κράτους.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ab/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Στο βιομηχανικό μοντέλο δίνεται έμφαση στη σχέση μεταξύ οικονομίας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της αγοράς και κοινωνικής πολιτικής. Τονίζεται ο βοηθητικός χαρακτήρας της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αγοράς στην λειτουργία του κράτους πρόνοιας. Η κεντρική ιδέα είναι ότι οι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κοινωνικές ανάγκες οφείλουν να καλύπτονται με βάση την εργασία και την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απόδοση. Ουσιαστικός είναι ο ρόλος των κινήτρων προς εργασία και των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προσόντων. Η εκπαιδευτική πολιτική και η ασφάλιση είναι οι μόνες που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αναγνωρίζεται ότι υποχρεωτικά πρέπει να παρέχονται από το κράτος.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ab/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Στο θεσμικό-αναδιανεμητικό πρότυπο η κάλυψη των αναγκών εκ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μέρους τους κράτους είναι καθολική και  ανεξάρτητη από τους μηχανισμούς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της αγοράς. Κύριοι στόχοι του κοινωνικού κράτους στην περίπτωση αυτή είναι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η αναδιανομή του κοινωνικού προϊόντος στους αδύναμους και η επίτευξη της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ισότητας των ατόμων (Σακελλαρόπουλος, 2011).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ab/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Σε έναν κάπως διαφορετικό διαχωρισμό των προτύπων προχωρά ο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Esping- Andersen (2006) που τα διακρίνει σε : φιλελεύθερο, συντηρητικό-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κορπορατιστικό και σοσιαλδημοκρατικό. Στην πρώτη περίπτωση (εφαρμογή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κυρίως στις Η.Π.Α και στο Ηνωμένο Βασίλειο) ενισχύθηκε ο ατομικισμός και οι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αγορές, ενώ το κράτος πρόνοιας διατήρησε έναν υπολειμματικό ρόλο. Στην πε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ρίπτωση αυτή ευνοείται η αγορά σε βάρος του κεντρικού κρατικού μηχανισμού,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των ρυθμίσεων και της αναδιανομής. Οι παροχές δίνονται μέσω της αγοράς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μετά από έλεγχο του εισοδήματος.  Εξασφαλίζεται ισότητα, αλλά  προς τα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κάτω. Τα προγράμματα κοινωνικής ασφάλισης και οι μεταβιβαστικές παροχές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περιορίζονται στο ελάχιστο.</w:t>
      </w:r>
    </w:p>
    <w:p>
      <w:pPr>
        <w:numPr>
          <w:ilvl w:val="0"/>
          <w:numId w:val="0"/>
        </w:numPr>
        <w:jc w:val="both"/>
        <w:spacing w:lineRule="auto" w:line="259" w:before="0" w:after="160"/>
        <w:ind w:firstLine="72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Στο σοσιαλδημοκρατικό μοντέλο (εφαρμόστηκε κυρίως στις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Σκανδιναβικές χώρες) η κάλυψη των αναγκών εκ μέρους του κράτους είναι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καθολική, ενώ προωθείται η ισότητα μεταξύ των πολιτών. Ο ρόλος του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κράτους είναι αναδιανεμητικός και βασίζεται στην συμμετοχική ιδιότητα του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πολίτη. Η απασχόληση είναι πλήρης.</w:t>
      </w:r>
    </w:p>
    <w:p>
      <w:pPr>
        <w:numPr>
          <w:ilvl w:val="0"/>
          <w:numId w:val="0"/>
        </w:numPr>
        <w:jc w:val="both"/>
        <w:spacing w:lineRule="auto" w:line="259" w:before="0" w:after="160"/>
        <w:ind w:firstLine="72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Τέλος, στο κορπορατιστικό πρότυπο έχουμε συνένωση της κοινωνικής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προστασίας με τις παραδόσεις των συντεχνιών, καθώς επίσης και με τις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παραδόσεις του κοινωνικού καθολικισμού που σχετίζονται με την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επικουρικότητα. Αξίωση στην κοινωνική κάλυψη έχουν στην περίπτωση αυτή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όσοι εργάζονται. Σημαντική είναι και η συμμετοχή της οικογένειας στην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παροχή κοινωνικής μέριμνας. Ένα μεγάλο μειονέκτημα αυτού του προτύπου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είναι ότι τα άτομα που βρίσκονται εκτός αγοράς εργασίας αποκλείονται και δεν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δικαιούνται κοινωνικές παροχές. Το μοντέλο αυτό συναντούμε κυρίως στην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Ηπειρωτική και Νότια Ευρώπη (Esping-Andersen et al., 2006;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Στασινοπούλου,2006; Σακελλαρόπουλος, 2011).</w:t>
      </w:r>
    </w:p>
    <w:p>
      <w:pPr>
        <w:numPr>
          <w:ilvl w:val="0"/>
          <w:numId w:val="0"/>
        </w:numPr>
        <w:jc w:val="both"/>
        <w:spacing w:lineRule="auto" w:line="259" w:before="0" w:after="160"/>
        <w:ind w:firstLine="72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Οι ανωτέρω κατηγορίες των προτύπων δεν προέκυψαν μέσα σε μια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στιγμή, ούτε βέβαια το σύγχρονο κράτος πρόνοιας έφτασε στις σημερινές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μορφές-εκφάνσεις του χωρίς να μεσολαβήσουν συγκρούσεις, αντιπαραθέσεις,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συμβιβασμοί, ενδιάμεσες μορφές του και μεταρρυθμίσεις (Esping-Andersen et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al., 2006). Εξελίχθηκε διαχρονικά εν μέσω συγκεκριμένων κοινωνικών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πλαισίων και ιστορικών γεγονότων που διαμόρφωσαν σε κάθε χώρα την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ιδιαίτερη μορφή που έχει σήμερα, η οποία θα πρέπει να τονίσουμε ότι και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πάλι παραμένει ρευστή και αλλάζει συνεχώς λόγων των ευρύτερων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οικονομικών και κοινωνικών συνθηκών που επικρατούν. Η περιγραφή της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εξέλιξης αυτής θα γίνει στις ενότητες που ακολουθούν.</w:t>
      </w: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b w:val="1"/>
          <w:position w:val="0"/>
          <w:sz w:val="28"/>
          <w:szCs w:val="28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 xml:space="preserve">Η εξέλιξη του κράτους πρόνοιας από την απαρχή του μέχρι τη </w:t>
      </w:r>
      <w:r>
        <w:rPr>
          <w:b w:val="1"/>
          <w:position w:val="0"/>
          <w:sz w:val="28"/>
          <w:szCs w:val="28"/>
          <w:rFonts w:ascii="Arial" w:eastAsia="Arial" w:hAnsi="Arial" w:hint="default"/>
        </w:rPr>
        <w:t xml:space="preserve">δεκαετία του 1970</w:t>
      </w: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ab/>
      </w:r>
      <w:r>
        <w:rPr>
          <w:position w:val="0"/>
          <w:sz w:val="24"/>
          <w:szCs w:val="24"/>
          <w:rFonts w:ascii="Arial" w:eastAsia="Arial" w:hAnsi="Arial" w:hint="default"/>
        </w:rPr>
        <w:t xml:space="preserve">Η αφετηρία του κράτους πρόνοιας  αποδίδεται στον Γερμανό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καγκελάριο Otto von Bismarck και χρονολογείται στα τέλη του 18</w:t>
      </w:r>
      <w:r>
        <w:rPr>
          <w:vertAlign w:val="superscript"/>
          <w:position w:val="0"/>
          <w:sz w:val="24"/>
          <w:szCs w:val="24"/>
          <w:rFonts w:ascii="Arial" w:eastAsia="Arial" w:hAnsi="Arial" w:hint="default"/>
        </w:rPr>
        <w:t>ου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 αιώνα,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συγκεκριμένα στη δεκαετία του 1880. Τότε κατοχυρώθηκαν νομοθετικά για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πρώτη φορά η κοινωνική ασφάλιση και η υγειονομική περίθαλψη των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εργατών. Ωστόσο, τα κίνητρα που αποδόθηκαν στον Bismarck δεν ήταν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φιλεργατικά, αλλά του «χρέωσαν» ότι προχώρησε σε αυτή την κίνηση για να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εμποδίσει την διάδοση των σοσιαλιστικών ιδεών και επίσης ότι δεν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επεκτάθηκε στην εξάπλωση των δικαιωμάτων σε άλλους τομείς π.χ. στην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παιδεία. </w:t>
      </w:r>
    </w:p>
    <w:p>
      <w:pPr>
        <w:numPr>
          <w:ilvl w:val="0"/>
          <w:numId w:val="0"/>
        </w:numPr>
        <w:jc w:val="both"/>
        <w:spacing w:lineRule="auto" w:line="259" w:before="0" w:after="160"/>
        <w:ind w:firstLine="72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Αν θέλουμε όμως αναζητήσουμε τις βαθύτερες αιτίες και συνθήκες που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γέννησαν το κράτος πρόνοιας θα πρέπει να εξετάσουμε το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κοινωνικοοικονομικό πλαίσιο που είχε δημιουργηθεί λόγω της Βιομηχανικής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Επανάστασης. Η εντατικοποίηση της ανθρώπινης εργασίας λόγω της μαζικής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παραγωγής είχε σαν αποτέλεσμα την επιδείνωση των προβλημάτων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κοινωνικής προστασίας των πληθυσμών. Δεν πρέπει να παραλείψουμε και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την συνεχιζόμενη μετεγκατάσταση εργατικού πληθυσμού από την ύπαιθρο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στις πόλεις, που δυσχέραινε ακόμη περισσότερο τις συνθήκες ζωής τους. Όλα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τα παραπάνω αποτέλεσαν αιτίες που ώθησαν τα καπιταλιστικά κράτη να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αναδείξουν το κοινωνικό τους πρόσωπο.</w:t>
      </w:r>
    </w:p>
    <w:p>
      <w:pPr>
        <w:numPr>
          <w:ilvl w:val="0"/>
          <w:numId w:val="0"/>
        </w:numPr>
        <w:jc w:val="both"/>
        <w:spacing w:lineRule="auto" w:line="259" w:before="0" w:after="160"/>
        <w:ind w:firstLine="72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Ιδιαίτερη σημασία είχαν οι διεκδικήσεις της Γαλλικής επανάστασης, που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αν και δεν είχαν άμεσο αποτέλεσμα, έδωσαν το εναρκτήριο λάκτισμα για την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αξίωση και αργότερα απολαβή  κοινωνικών παροχών από το νόμιμο κράτος </w:t>
      </w:r>
      <w:r>
        <w:rPr>
          <w:position w:val="0"/>
          <w:sz w:val="24"/>
          <w:szCs w:val="24"/>
          <w:rFonts w:ascii="Arial" w:eastAsia="Arial" w:hAnsi="Arial" w:hint="default"/>
        </w:rPr>
        <w:t>(Γιαννακόπουλος,2007)</w:t>
      </w:r>
    </w:p>
    <w:p>
      <w:pPr>
        <w:numPr>
          <w:ilvl w:val="0"/>
          <w:numId w:val="0"/>
        </w:numPr>
        <w:jc w:val="both"/>
        <w:spacing w:lineRule="auto" w:line="259" w:before="0" w:after="160"/>
        <w:ind w:firstLine="72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Στις διακηρύξεις της Γαλλικής επανάστασης ανευρίσκει τα θεμέλια του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κράτους πρόνοιας και ο Ewald (2000), ο οποίος περιγράφει τη μετάβαση από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την εξασφάλιση κοινωνικών δικαιωμάτων και την αγαθοεργία στην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προνοητικότητα και την πρόληψη κινδύνου. Αν και δεν αμφισβητεί τις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αρνητικές όψεις του φιλελευθερισμού, θεωρεί ότι υπήρχαν και θετικές πλευρές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του που συνέβαλαν στον συγκρότηση του κράτους πρόνοιας. Αναφέρει,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παρόλα αυτά, την εκβιομηχάνιση ως αιτία της εξαθλίωσης των εργατικών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τάξεων τον 18</w:t>
      </w:r>
      <w:r>
        <w:rPr>
          <w:vertAlign w:val="superscript"/>
          <w:position w:val="0"/>
          <w:sz w:val="24"/>
          <w:szCs w:val="24"/>
          <w:rFonts w:ascii="Arial" w:eastAsia="Arial" w:hAnsi="Arial" w:hint="default"/>
        </w:rPr>
        <w:t>ο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 αιώνα, αλλά με μια ειρωνική διάθεση απέναντι στους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μελετητές που παρατηρούν μόνο αυτή την όψη του καπιταλισμού. Στην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διόρθωση της αρνητικής αυτής πλευράς στοχεύει το φιλελεύθερο κράτος </w:t>
      </w:r>
      <w:r>
        <w:rPr>
          <w:position w:val="0"/>
          <w:sz w:val="24"/>
          <w:szCs w:val="24"/>
          <w:rFonts w:ascii="Arial" w:eastAsia="Arial" w:hAnsi="Arial" w:hint="default"/>
        </w:rPr>
        <w:t>πρόνοιας.</w:t>
      </w:r>
    </w:p>
    <w:p>
      <w:pPr>
        <w:numPr>
          <w:ilvl w:val="0"/>
          <w:numId w:val="0"/>
        </w:numPr>
        <w:jc w:val="both"/>
        <w:spacing w:lineRule="auto" w:line="259" w:before="0" w:after="160"/>
        <w:ind w:firstLine="72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Σαν συνεχιστή των πρόδρομων αυτών μορφών εκλαμβάνει την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κοινωνία του κινδύνου, των ασφαλειών και του κέρδους, στην οποία το κράτος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πρόνοιας στοχεύει κυρίως στην πρόληψη των κινδύνων και οι κοινωνικές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παροχές έχουν πια χαρακτήρα υποχρεωτικό, μόνιμο και κανονιστικό.  (Ewald, </w:t>
      </w:r>
      <w:r>
        <w:rPr>
          <w:position w:val="0"/>
          <w:sz w:val="24"/>
          <w:szCs w:val="24"/>
          <w:rFonts w:ascii="Arial" w:eastAsia="Arial" w:hAnsi="Arial" w:hint="default"/>
        </w:rPr>
        <w:t>2000).</w:t>
      </w:r>
    </w:p>
    <w:p>
      <w:pPr>
        <w:numPr>
          <w:ilvl w:val="0"/>
          <w:numId w:val="0"/>
        </w:numPr>
        <w:jc w:val="both"/>
        <w:spacing w:lineRule="auto" w:line="259" w:before="0" w:after="160"/>
        <w:ind w:firstLine="72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Οι αρχές του 20 αιώνα βρίσκουν και την φιλελεύθερη Μεγάλη Βρετανία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να ξεκινά την θεμελίωση κράτους πρόνοιας, όπου έρχονται σε πρώτη μοίρα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τα συμφέροντα των πολιτών (Γιαννακόπουλος,2007 ).</w:t>
      </w:r>
    </w:p>
    <w:p>
      <w:pPr>
        <w:numPr>
          <w:ilvl w:val="0"/>
          <w:numId w:val="0"/>
        </w:numPr>
        <w:jc w:val="both"/>
        <w:spacing w:lineRule="auto" w:line="259" w:before="0" w:after="160"/>
        <w:ind w:firstLine="72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Ο μεσοπόλεμος βρίσκει την Γηραιά Ήπειρο «χτυπημένη» από το κραχ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του 1929 και τη μεγάλη οικονομική Ύφεση που ακολούθησε, καθώς και τους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ηγέτες των κρατών αδύναμους να ανταπεξέλθουν στην πρόκληση της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κατακόρυφης αύξησης της ανεργίας και των συνεπειών της.</w:t>
      </w:r>
    </w:p>
    <w:p>
      <w:pPr>
        <w:numPr>
          <w:ilvl w:val="0"/>
          <w:numId w:val="0"/>
        </w:numPr>
        <w:jc w:val="both"/>
        <w:spacing w:lineRule="auto" w:line="259" w:before="0" w:after="160"/>
        <w:ind w:firstLine="72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Αυτός που θα αλλάξει ριζικά την κατάσταση με τη θεωρία του, αν και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μερικά χρόνια αργότερα, είναι ο Βρετανός οικονομολόγος Keynes (1930,1936)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 που διαμόρφωσε νέες προτάσεις με στόχο την καταπολέμηση της ανεργίας,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αποσκοπώντας στην εξασφάλιση υψηλής ευημερίας και πλήρους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απασχόλησης. Ωστόσο, οι προτάσεις του θα εφαρμοστούν μεταπολεμικά,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όταν οι κατεστραμμένες οικονομίες των Ευρωπαϊκών κρατών θα χρειαστούν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οπωσδήποτε την τόνωση που θα μπορούσαν να τους προσφέρουν τα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εισοδήματα των πλήρως απασχολούμενων εργατών αλλά και την απαραίτητη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κοινωνική συνοχή, μετά την οδυνηρή εμπειρία των παγκοσμίων πολέμων.</w:t>
      </w:r>
    </w:p>
    <w:p>
      <w:pPr>
        <w:numPr>
          <w:ilvl w:val="0"/>
          <w:numId w:val="0"/>
        </w:numPr>
        <w:jc w:val="both"/>
        <w:spacing w:lineRule="auto" w:line="259" w:before="0" w:after="160"/>
        <w:ind w:firstLine="72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Το «Κεϋνσιανό» κράτος πρόνοιας χαρακτηρίζει τις επόμενες δεκαετίες,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από τη λήξη του 2</w:t>
      </w:r>
      <w:r>
        <w:rPr>
          <w:vertAlign w:val="superscript"/>
          <w:position w:val="0"/>
          <w:sz w:val="24"/>
          <w:szCs w:val="24"/>
          <w:rFonts w:ascii="Arial" w:eastAsia="Arial" w:hAnsi="Arial" w:hint="default"/>
        </w:rPr>
        <w:t>ου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 Παγκοσμίου Πολέμου μέχρι περίπου τη δεκαετία του 70.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Η εξασφάλιση της πλήρους απασχόλησης που έχει ως συνέπεια την αύξηση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της παραγωγικότητας  και της ανάπτυξης καθώς και ο μετριασμός των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εργατικών διεκδικήσεων, επίσης τα νέα μαζικά συστήματα κοινωνικής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ασφάλισης είναι τα κυριότερα χαρακτηριστικά του.</w:t>
      </w:r>
    </w:p>
    <w:p>
      <w:pPr>
        <w:numPr>
          <w:ilvl w:val="0"/>
          <w:numId w:val="0"/>
        </w:numPr>
        <w:jc w:val="both"/>
        <w:spacing w:lineRule="auto" w:line="259" w:before="0" w:after="160"/>
        <w:ind w:firstLine="72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Όμως, η πετρελαϊκή κρίση της δεκαετίας του 70, ο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στασιμοπληθωρισμός και τα δημοσιονομικά ελλείματα των Η.Π.Α οδήγησαν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σε νέα κρίση, αύξηση της ανεργίας και εκ νέου άνθιση του οικονομικού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φιλελευθερισμού. Ωστόσο τα εγκατεστημένα κράτη πρόνοιας στην περίπτωση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αυτή λειτούργησαν ως ασπίδα προστασίας και απέτρεψαν τυχόν κοινωνικές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επαναστάσεις. Αλλά οι συνέπειες της νέας αυτής κρίσης συσσωρεύτηκαν και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εκφράστηκαν σταδιακά αργότερα, μέχρι και σήμερα (Σολδάτος,2009).</w:t>
      </w:r>
    </w:p>
    <w:p>
      <w:pPr>
        <w:numPr>
          <w:ilvl w:val="0"/>
          <w:numId w:val="0"/>
        </w:numPr>
        <w:jc w:val="both"/>
        <w:spacing w:lineRule="auto" w:line="259" w:before="0" w:after="160"/>
        <w:ind w:firstLine="72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ab/>
      </w: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b w:val="1"/>
          <w:position w:val="0"/>
          <w:sz w:val="28"/>
          <w:szCs w:val="28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 xml:space="preserve">Παγκοσμιοποίηση, νέες μορφές οικονομίας και κοινωνικής </w:t>
      </w:r>
      <w:r>
        <w:rPr>
          <w:b w:val="1"/>
          <w:position w:val="0"/>
          <w:sz w:val="28"/>
          <w:szCs w:val="28"/>
          <w:rFonts w:ascii="Arial" w:eastAsia="Arial" w:hAnsi="Arial" w:hint="default"/>
        </w:rPr>
        <w:t xml:space="preserve">συγκρότησης, και η επίδρασή τους στη λειτουργία του κράτους </w:t>
      </w:r>
      <w:r>
        <w:rPr>
          <w:b w:val="1"/>
          <w:position w:val="0"/>
          <w:sz w:val="28"/>
          <w:szCs w:val="28"/>
          <w:rFonts w:ascii="Arial" w:eastAsia="Arial" w:hAnsi="Arial" w:hint="default"/>
        </w:rPr>
        <w:t>πρόνοιας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ab/>
      </w:r>
      <w:r>
        <w:rPr>
          <w:position w:val="0"/>
          <w:sz w:val="24"/>
          <w:szCs w:val="24"/>
          <w:rFonts w:ascii="Arial" w:eastAsia="Arial" w:hAnsi="Arial" w:hint="default"/>
        </w:rPr>
        <w:t xml:space="preserve">Η παγκοσμιοποίηση θεωρείται από πολλούς ειδικούς η αιτία και ο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μεγαλύτερος κίνδυνος αποδιοργάνωσης ή ακόμη και κατάργησης του κράτους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πρόνοιας. Εντούτοις, δεν συμφωνούν όλοι με αυτή την άποψη, ούτε και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υιοθετούν την απαισιόδοξη οπτική που προβλέπει περαιτέρω συρρίκνωση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του κράτους κοινωνικής προστασίας . Οι απόψεις διαφέρουν και δεν λείπουν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και οι αισιόδοξοι μελετητές του φαινομένου(Pierson,2001).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ab/>
      </w:r>
      <w:r>
        <w:rPr>
          <w:position w:val="0"/>
          <w:sz w:val="24"/>
          <w:szCs w:val="24"/>
          <w:rFonts w:ascii="Arial" w:eastAsia="Arial" w:hAnsi="Arial" w:hint="default"/>
        </w:rPr>
        <w:t xml:space="preserve">Με τον όρο παγκοσμιοποίηση περιγράφουμε συνήθως την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διεθνοποίηση, την οικονομική δηλαδή ένωση των κρατών μέσω της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ολοκλήρωσης της παγκόσμιας αγοράς και τις ποσοτικές αλλαγές που την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χαρακτηρίζουν. Όμως η διεθνοποίηση, αν και αποτελεί κεντρικό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χαρακτηριστικό, δεν ταυτίζεται με την έννοια της παγκοσμιοποίησης η οποία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είναι πιο ευρεία και περιλαμβάνει και άλλους τομείς όπως το περιβάλλον, ο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πολιτισμός, η υγεία, η τεχνολογία κ.λ.π. Στο παγκοσμιοποιημένο περιβάλλον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παρατηρούμε οικονομικά ρεύματα (διασυνοριακές ροές αγαθών και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υπηρεσιών) αλλά και ροές ατομικής και πολιτικής συμπεριφοράς,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πολιτιστικών προτύπων, κουλτούρας, τέχνης, ιδεών κ.α. Οι τελευταίες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πραγματοποιούνται μέσω των διεθνικών δικτύων (transnational networks),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που αποτελούνται από αγορές, διεθνείς οργανισμούς, κυβερνήσεις, εταιρείες,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μη κυβερνητικές οργανώσεις, πολιτιστικές και επιστημονικές κοινότητες,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εργατικές και επαγγελματικές ενώσεις κ.λ.π. Η πραγματοποίησή τους γίνεται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κυρίως μέσω της σύγχρονης τεχνολογίας της πληροφορίας και  επικοινωνίας.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ab/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Στην κοινωνία της παγκοσμιοποίησης η πληροφόρηση αναδεικνύεται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ως η κύρια πηγή παραγωγικότητας και κυριαρχίας. Η λήψη αποφάσεων και 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άσκηση οικονομικής πολιτικής περνά πια από τα εθνικά σε υπερεθνικά κέντρα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όπως είναι το Διεθνές Νομισματικό Ταμείο, η Παγκόσμια Τράπεζα, ο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Παγκόσμιος Οργανισμός Εμπορίου κ.α. Ενισχύεται η αξία του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χρηματιστηριακού κεφαλαίου. Δεν υπάρχουν φραγμοί στο εμπόριο και στις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επενδύσεις. Υπάρχει διάχυση πολιτιστικών αξιών ταυτόχρονα με την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εμφάνιση εθνικιστικών τάσεων, πολιτισμικών αντιθέσεων και κοινωνικών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κινημάτων. Η τεχνολογική καινοτομία χαρακτηρίζεται από ευελιξία και </w:t>
      </w:r>
      <w:r>
        <w:rPr>
          <w:position w:val="0"/>
          <w:sz w:val="24"/>
          <w:szCs w:val="24"/>
          <w:rFonts w:ascii="Arial" w:eastAsia="Arial" w:hAnsi="Arial" w:hint="default"/>
        </w:rPr>
        <w:t>προσαρμοστικότητα.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ab/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Ποια ήταν όμως η αφετηρία της νέας αυτή εποχής ; Φαίνεται πως οι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πετρελαϊκές κρίσεις της δεκαετίας του 1970 ανέτρεψαν την καθιερωμένη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οργάνωση παραγωγής και κατά συνέπεια και τον ρόλο του  Κεϋνσιανής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έμπνευσης κράτους, εγκαινιάζοντας μια νέα εποχή οικονομικής ανάπτυξης. Το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ενεργειακό κόστος αυξήθηκε δραματικά στις αναπτυγμένες οικονομίες με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αποτέλεσμα μακροχρόνιες συνέπειες στην παραγωγικότητα, τα οφέλη και την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εργασία. Παρουσιάστηκε επιβράδυνση της παραγωγικότητας, μείωση των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κερδών και σημαντική άνοδος των ποσοστών της ανεργίας (Γεωργακόπουλος </w:t>
      </w:r>
      <w:r>
        <w:rPr>
          <w:position w:val="0"/>
          <w:sz w:val="24"/>
          <w:szCs w:val="24"/>
          <w:rFonts w:ascii="Arial" w:eastAsia="Arial" w:hAnsi="Arial" w:hint="default"/>
        </w:rPr>
        <w:t>κ.α.,2007).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ab/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Ερευνώντας τη σχέση μεταξύ της «παγκοσμιοποίησης» και των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μεταβολών που προκλήθηκαν στο κράτος πρόνοιας, έχουν προκύψει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διάφορες, συχνά συγκρουόμενες μεταξύ τους ερμηνείες.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ab/>
      </w:r>
      <w:r>
        <w:rPr>
          <w:position w:val="0"/>
          <w:sz w:val="24"/>
          <w:szCs w:val="24"/>
          <w:rFonts w:ascii="Arial" w:eastAsia="Arial" w:hAnsi="Arial" w:hint="default"/>
        </w:rPr>
        <w:t xml:space="preserve">Ο Schwartz (2001), για παράδειγμα, διαχωρίζει τις ερμηνείες αυτές σε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τρεις ομάδες, περιγράφει κάθε μια χωριστά και εκτιμά τη «βαρύτητα» και την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«αξιοπιστία» της κάθε μιας από αυτές. Δηλαδή, αναλύει τα επιχειρήματα του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κάθε συνόλου και ψάχνει να βρει αν είναι «ισχυρά» ή όχι. Ονομάζει την πρώτη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ομάδα “SAM” από τα αρχικά των φράσεων : Southern competition,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Technological Advances, Monetary policy constraints (Νότιος ανταγωνισμός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για τους χαμηλούς μισθούς, τεχνολογική πρόοδος και περιορισμοί της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Νομισματική πολιτικής). Στην περίπτωση αυτή τα επιχειρήματα σχετίζονται με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τις παγκόσμιες αλλαγές που έχουν να κάνουν με την αύξηση της ανισότητας,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με την ελάττωση του επιπέδου παροχών και την αύξηση της ανεργίας.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Ωστόσο, τους λείπει μια ισχυρή αιτιολόγηση. Δεν λείπουν τα παραδείγματα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όπου οι παροχές αυξήθηκαν αντί να μειωθούν και η αυξημένη ανεργία δεν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είχε αρνητική επίδραση στην λειτουργία του κράτους πρόνοιας. Η επόμενη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ομάδα είναι η «ILSA»: Inflation control, Low Service sector productivity growth,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Aging (έλεγχος του Πληθωρισμού, αύξηση της παραγωγικότητας στον τομέα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χαμηλού επιπέδου υπηρεσιών και η Γήρανση του πληθυσμού). Είναι αλήθεια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πώς οι θεσμικές «δομές» που ανέπτυξαν τα Κεϋνσιανής έμπνευσης κράτη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μετά τον 2</w:t>
      </w:r>
      <w:r>
        <w:rPr>
          <w:vertAlign w:val="superscript"/>
          <w:position w:val="0"/>
          <w:sz w:val="24"/>
          <w:szCs w:val="24"/>
          <w:rFonts w:ascii="Arial" w:eastAsia="Arial" w:hAnsi="Arial" w:hint="default"/>
        </w:rPr>
        <w:t>ο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 Παγκόσμιο Πόλεμο, ως απάντηση στον αποπληθωρισμό της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κρίσης του 1930, κατέρρευσαν με την αύξηση του πληθωρισμού της δεκαετίας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του 1970. Οι πολιτικές της πλήρους απασχόλησης, η ρύθμιση της αγοράς, οι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χρηματοπιστωτικές πολιτικές και φυσικά το κράτος πρόνοιας μπήκαν στο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περιθώριο. Επιπρόσθετα, σημαντικός παράγοντας για την μεγέθυνση της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ζήτησης παροχών ήταν  η γήρανση του πληθυσμού με αποτέλεσμα την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αύξηση της ζήτησης για υπηρεσίες υγείας και φροντίδας γενικότερα. Εδώ τα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επιχειρήματα επικεντρώνονται κυρίως στα πολιτικά εμπόδια που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αντιμετωπίζουμε κατά την προσπάθεια μετατροπής του κράτους πρόνοιας.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Δεν θεωρεί το κράτος πρόνοιας «τελειωμένο» αλλά τονίζει την αναγκαιότητα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της υπεράσπισης της ιδιοκτησίας και των εισοδημάτων μέσω συλλογικής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δράσης. Τέλος, η τρίτη ομάδα επιχειρημάτων RICK : property Rights, Income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streams, Coalitions (δικαιώματα Ιδιοκτησίας, Εισοδηματικές τάσεις και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Συνασπισμοί) εξηγεί κατά τον Schwartz (2001) καλύτερα από τις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προηγούμενες πώς διαφορετικές κυβερνήσεις αντιδρούν η κάθε μια με τον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δικό της τρόπο στις εσωτερικές και εξωτερικές οικονομικές πιέσεις όσον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αφορά την υπεράσπιση των δομών και θεσμών του κράτους πρόνοιας.  Ο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Schwartz καταλήγει στο συμπέρασμα πως η «παγκοσμιοποίηση» και 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κατάρρευση του κράτους πρόνοιας θα έπρεπε να γίνουν κατανοητές ως 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παρακμή των πολιτικών δικαιωμάτων ιδιοκτησίας και των σχετιζόμενων με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αυτά εισοδημάτων, καθώς και των αντιδράσεων απέναντι σε αυτόν τον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εκφυλισμό. Ωστόσο αποδίδει την παρακμή του κράτους πρόνοιας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περισσότερο  στις εθνικές πολιτικές παρά στην λειτουργία της παγκόσμιας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αγοράς η οποία ούτως ή άλλως είναι αδύνατον να καταπιεσθεί και να μην </w:t>
      </w:r>
      <w:r>
        <w:rPr>
          <w:position w:val="0"/>
          <w:sz w:val="24"/>
          <w:szCs w:val="24"/>
          <w:rFonts w:ascii="Arial" w:eastAsia="Arial" w:hAnsi="Arial" w:hint="default"/>
        </w:rPr>
        <w:t>εκδηλωθεί.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ab/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Απ’την άλλη, ο Iversen (2001), αναφέρεται σε δυο θεωρητικές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κατευθύνσεις που ερμηνεύουν την επίδραση της «παγκοσμιοποίησης» στο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κράτος πρόνοιας. Την «απαισιόδοξη» που βλέπει την παγκοσμιοποίηση σαν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μια σοβαρή απειλή για τη συνέχιση του Κεϋνσιανού  κράτους πρόνοιας και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την «αισιόδοξη» που προβλέπει την συμβατότητα μεταξύ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«παγκοσμιοποίησης» και κράτους πρόνοιας, ακόμη και την ενδυνάμωση του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δεύτερου μέσω της νέας αυτής κατάστασης. Χρησιμοποιώντας εμπειρικά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δεδομένα από διάφορες έρευνες (Rodrik,1997;Garret,1995,1998) και βάσεις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δεδομένων που αφορούν 15 χώρες (μεταξύ αυτών και χώρες της Κεντρικής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Ευρώπης όπως το Βέλγιο, η Αυστρία, η Γερμανία, η Γαλλία κ.α.) για μια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χρονική περίοδο 35 ετών (1960-1995), διατείνεται πως δεν υπάρχουν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δεδομένα να υποστηρίζουν τη συσχέτιση μεταξύ εμπορίου, κινητικότητας των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κεφαλαίων και εξάπλωσης ή συρρίκνωσης του κράτους πρόνοιας. Επίσης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αναφέρει ότι δεν αποδεικνύεται ότι η παγκοσμιοποίηση αποτελεί σημαντική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απειλή για το κράτος πρόνοιας. Αντίθετα, έχει παρατηρηθεί εξάπλωση του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κράτους πρόνοιας από τη δεκαετία του 1960 και μετά, που σε μεγάλο βαθμό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οφείλεται στην τεχνολογική πρόοδο σε συνδυασμό με τον κορεσμό των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αγορών για αγροτικά και βιομηχανικά προϊόντα, την αποβιομηχάνιση δηλαδή.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Κύριο χαρακτηριστικό της τελευταίας αποτελεί η ραγδαία πτώση της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βιομηχανικής παραγωγής, ή με άλλα λόγια, η εξαφάνιση της εργατικής τάξης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των μπλε-κολλάρων. Εν τω μεταξύ, οι δεξιές κυβερνήσεις αντιδρούν στη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διαδικασία της αποβιομηχάνησης διευρύνοντας το εισόδημα μέσω τη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διατήρησης των μεταβιβαστικών πληρωμών, ενώ οι αριστερές κυβερνήσεις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διευρύνοντας τις κρατικές παροχές που αφορούν περισσότερο υπηρεσίες.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Πάντως, όποια και να είναι η σημερινή μορφή της οικονομίας,  ο Iversen (2001)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στο μέλλον προβλέπει  εντατικοποίηση των διαμαχών που αφορούν τις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διανεμητικές πολιτικές.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ab/>
      </w:r>
      <w:r>
        <w:rPr>
          <w:position w:val="0"/>
          <w:sz w:val="24"/>
          <w:szCs w:val="24"/>
          <w:rFonts w:ascii="Arial" w:eastAsia="Arial" w:hAnsi="Arial" w:hint="default"/>
        </w:rPr>
        <w:t xml:space="preserve">O Pierson (2001), με τη σειρά του, διατείνεται πως δεν σχετίζονται όλες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οι μεταβολές στο κράτος πρόνοιας με την παγκοσμιοποιημένη οικονομία,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παρά με οικονομικές και κοινωνικές αλλαγές εντός των μετα-βιομηχανικών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κρατών που έχουν να κάνουν με την μετάβαση από την βιομηχανική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οικονομία σε μια οικονομία υπηρεσιών, με τη γήρανση του πληθυσμού και με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τις γενικότερες τροποποιήσεις που αυτές επιφέρουν στη δομή των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νοικοκυριών. Δεν απορρίπτει τελείως την υπόθεση της «παγκοσμιοποίησης»,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ωστόσο δεν τη θεωρεί αποκλειστική αιτία για τη συρρίκνωση του κράτους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πρόνοιας. Περιγράφει την δυσμενή θέση στην οποία έχουν περιέλθει πολλά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κράτη που προσπαθούν να ισορροπήσουν τα υπέρογκα χρέη τους και την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αδυναμία των «παλαιού τύπου» κρατών πρόνοιας να ανταπεξέλθουν στις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σύγχρονες κοινωνικές απαιτήσεις.  Η υπόθεση ότι  η παγκοσμιοποίηση του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εμπορίου και κατά συνέπεια της οικονομίας είναι η αιτία της συρρίκνωσης των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εισοδημάτων και της αύξησης της ανεργίας δεν τον πείθει. Ωστόσο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παραδέχεται ότι η λιτότητα απασχολεί τα περισσότερα κράτη τα οποία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αδυνατούν να ανταπεξέλθουν στις νέες κοινωνικές απαιτήσεις. Ειδικότερα για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την ηπειρωτική Ευρώπη και τις Χριστιανοδημοκρατικές κοινωνίες της,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παρουσιάζεται ελάττωση των δημόσιων υπηρεσιών και ταυτόχρονη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μεγέθυνση και ανάπτυξη του τομέα των ιδιωτικών υπηρεσιών με υψηλά κόστη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και ρύθμιση της οικονομίας από την ελεύθερη αγορά πια. Το κυρίαρχο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πρόβλημα παραμένει η ανεργία και οι συνέπειές της. Οι τομείς που ανεβάζουν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τα κόστη των κοινωνικών παροχών στην Ευρωπαϊκή Ένωση είναι αυτός της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Υγείας και των Συντάξεων, το κόστος των οποίων για το 1991 π.χ.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αποτελούσε τα 2/3 των κοινωνικών παροχών στην Ε.Ε. Επίσης, η αλλαγή της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δομής των νοικοκυριών και η γυναικεία εργασία που δημιούργησαν νέες και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αυξημένες ανάγκες κοινωνικής φροντίδας, πρέπει να λαμβάνονται υπόψη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όταν εξετάζουμε τις νέες συνθήκες που έχουν δημιουργηθεί. Όσον αφορά τις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διαμάχες που υπάρχουν για το κράτος πρόνοιας, ο Pierson ισχυρίζεται πως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δεν γίνεται να ωφεληθούν όλοι, σίγουρα θα υπάρχουν ωφελημένοι και χαμένοι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από αυτή την υπόθεση, και ότι θα πρέπει να γίνουν αναγκαστικές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τροποποιήσεις στην παραδοσιακή μορφή του κράτους πρόνοιας που θα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πρέπει να συνάδουν με τις νέες οικονομικές και κοινωνικές συνθήκες.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ab/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Τροποποιήσεις που προτείνονται από ευρωπαίους επιστήμονες όπως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οι Ferrera, Hemmerijck και Rhodes (2001) με στόχο την προσαρμογή του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κράτους πρόνοιας στις νέες οικονομικές συνθήκες αφορούν μια θεσμική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προσέγγιση που περιλαμβάνει τα παρακάτω: Μια εύρωστη μακροοικονομική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πολιτική, προσαρμογή των μισθών και διαφοροποίησή τους στα πλαίσια όσο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το δυνατό ευρύτερων κοινωνικών συμφωνιών, νέες μεθόδους αντιμετώπισης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της φτώχειας και του κοινωνικού αποκλεισμού, κοινωνική πολιτική φιλική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προς την απασχόληση (εργασία),αποτελεσματική φορολογική πολιτική και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«ευασφάλεια» της αγοράς εργασίας.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ab/>
      </w:r>
      <w:r>
        <w:rPr>
          <w:position w:val="0"/>
          <w:sz w:val="24"/>
          <w:szCs w:val="24"/>
          <w:rFonts w:ascii="Arial" w:eastAsia="Arial" w:hAnsi="Arial" w:hint="default"/>
        </w:rPr>
        <w:t xml:space="preserve">O όρος «ευασφάλεια» (flexicurity) συνδυάζει τις έννοιες της ευελιξίας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και της ασφάλειας. Προσπαθεί να συμβιβάσει αντικρουόμενα συμφέροντα: της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εργοδοσίας από μια μεριά και των εργαζομένων από την άλλη. Πρωτο-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χρησιμοποιήθηκε στην Ολλανδία το 1999, αμέσως μετά τη μεταρρύθμιση της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εργατικής νομοθεσίας. Στοχεύει στη διατήρηση κάποιων ουσιαστικών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στοιχείων του κράτους πρόνοιας και πρόκειται ουσιαστικά για μια σύζευξη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μεταξύ της ευελιξίας των εργασιακών σχέσεων η οποία αποτελεί μόνιμο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αίτημα των εργοδοτών, και της ασφάλειας που επιδιώκει  η εργατική τάξη, με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στόχο την καλυτέρευση των συνθηκών απασχόλησης. Τέσσερα στοιχεία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περιλαμβάνονται στην flexicurity: ευέλικτες και ασφαλείς συμβατικές ρυθμίσεις,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ολοκληρωμένες στρατηγικές δια-βίου μάθησης, εποικοδομητικές και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ενεργητικές στρατηγικές για την αγορά εργασίας και σύγχρονες μέθοδοι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κοινωνικής ασφάλισης. Τρεις είναι οι κύριοι πυλώνες της: η εύκαμπτη αγορά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εργασίας που σημαίνει διευκόλυνση των απολύσεων και προσλήψεων εκ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μέρους των εργοδοτών, η προστασία του επιπέδου ζωής και του εισοδήματος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που εξασφαλίζεται με την παροχή επιδομάτων, ειδικών αδειών και άλλων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παροχών και τέλος οι Ενεργητικές Πολιτικές απασχόλησης. Οι τελευταίες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αποτελούν ένα σύνολο πολιτικών που αποβλέπουν στην παρότρυνση και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επανένταξη των ανέργων στην αγορά εργασίας. Το μοντέλο της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«ευασφάλειας» δέχεται ένθερμη υποστήριξη από πολλούς αλλά δεν είναι λίγοι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και αυτοί που του ασκούν έντονη κριτική.  Οι υποστηρικτές της θεωρούν ότι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δίνει λύση στο πρόβλημα της ανεργίας, μέσω της απελευθέρωσης των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απολύσεων, συνεπώς της μείωσης του εργατικού κόστους και άρα της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απελευθέρωσης περισσότερων νέων θέσεων εργασίας και οικονομικών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πόρων. Οι επικριτές της απ’την άλλη υποστηρίζουν ότι η flexicurity αποτελεί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βασικό παράγοντα για την αποδόμηση των εργασιακών δικαιωμάτων και είναι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ουσιαστικά ένα «όπλο» της νεοφιλελεύθερης πολιτικής εναντίον των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εργαζομένων και της ποιότητας ζωής τους. Το μοντέλο της «ευασφάλειας»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δεν μπορεί να εφαρμοστεί με τον ίδιο τρόπο σε όλα τα κράτη. Χρειάζεται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ανάλογη προσαρμογή και υπάρχουν περιπτώσεις, όπως η Ελλάδα, όπου 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εφαρμογή του είναι δύσκολο να επιτευχθεί. Δυστυχώς, όπου έχει εφαρμοστεί,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ευνοεί περισσότερο την εργοδοσία παρά βελτιώνει τις συνθήκες εργασίας και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τη ζωή των εργαζομένων. Χρειάζεται μεγάλη προσοχή ώστε να μην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επιδεινώσει αντί να βελτιώσει την υπάρχουσα κατάσταση (Κεραμάρη,2014).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ab/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Τα υψηλά δημόσια ελλείματα και  τα μεγάλα επίπεδα πληθωρισμού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είναι ανεπιθύμητα για τα κράτη και ασυμβίβαστα με τις παγκοσμιοποιημένες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οικονομικές αγορές.Η εύρωστη μακρο-οικονομική πολιτική επιτυγχάνεται κατά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τους Ferrera et al (2001) μέσω των αυστηρών οικονομικών μέτρων που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βοηθούν στη μείωση των επιτοκίων, κάτι που μακροπρόθεσμα μπορεί να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ενεργοποιήσει την οικονομία, να ελαττώσει το δημόσιο χρέος και να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ενδυναμώσει των εμπιστοσύνη των καταναλωτών και των πιθανών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επενδυτών στην οικονομία. Όσο το επίπεδο του δημοσίου ελλείματος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κρατείται σχετικά χαμηλό, βρίσκεται τελικά τρόπος για να ενεργοποιηθεί 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οικονομία σε περιόδους χαμηλής οικονομικής ανάπτυξης.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ab/>
      </w:r>
      <w:r>
        <w:rPr>
          <w:position w:val="0"/>
          <w:sz w:val="24"/>
          <w:szCs w:val="24"/>
          <w:rFonts w:ascii="Arial" w:eastAsia="Arial" w:hAnsi="Arial" w:hint="default"/>
        </w:rPr>
        <w:t xml:space="preserve">Η προσαρμογή και η συρρίκνωση των μισθών από την άλλη, η οποία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δοκιμάστηκε σε αρκετές χώρες μετά τη δεκαετία του 80, όπως η Δανία, 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Ολλανδία, η Ισπανία κ.λ.π. μπορεί να είναι ωφέλιμη για μερικούς, ωστόσο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επιδέχεται κριτικής. Ένα επιχείρημα υπέρ της είναι ότι καθώς μειώνεται το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μισθολογικό κόστος δίνεται ώθηση στην ανταγωνιστικότητα, και κατά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συνέπεια στην οικονομία. Ωστόσο, η κριτική που δέχεται σαν μέτρο είναι ότι 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μόνιμη προσαρμογή των μισθών βλάπτει την οικονομία γιατί ελαττώνει τη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ζήτηση, επιβραδύνει την κατανομή της αγοράς εργασίας και τελικά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υποσκάπτει την παραγωγικότητα που σχετίζεται με την καινοτομία.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ab/>
      </w:r>
      <w:r>
        <w:rPr>
          <w:position w:val="0"/>
          <w:sz w:val="24"/>
          <w:szCs w:val="24"/>
          <w:rFonts w:ascii="Arial" w:eastAsia="Arial" w:hAnsi="Arial" w:hint="default"/>
        </w:rPr>
        <w:t xml:space="preserve">Οι φιλικές προς την απασχόληση πολιτικές και η αποτελεσματική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φορολογική πολιτική είναι δύσκολο να εφαρμοστούν δεδομένης της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οικονομικής κατάστασης των περισσότερων χωρών. Είναι μάλλον πιο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εφαρμόσιμη η αναδιανομή των δημόσιων εσόδων με ένα πιο στοχευμένο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τρόπο με την ταυτόχρονη ελάττωση της οργανωτικής «χαλαρότητας».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Επιπλέον, για να γίνει ένα κράτος πρόνοιας φιλικό προς την απασχόληση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σημαίνει μεταβολή των τρόπων με τους οποίους η φορολογία και η κοινωνική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προστασία επιδρούν στη δημιουργία θέσεων εργασίας, ειδικά στον ιδιωτικό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τομέα. Τα επίπεδα των δημοσίων εξόδων δεν προβλέπουν απαραίτητα τις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επιδόσεις της απασχόλησης. Σε αντίθεση με τη Μεγάλη Βρετανία, χώρες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όπως η Δανία και η Ολλανδία τα πήγαν καλά σε όρους απασχόλησης χωρίς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να «αποσυνθέσουν» δραστικά το κράτος πρόνοιας. Περισσότερο η δομή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χρηματοδότησης παρά τα επίπεδα δαπανών επιδρούν στην επενέργεια του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κράτους πρόνοιας στην οικονομία και την απασχόληση.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ab/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Τελευταίες, αλλά εξίσου σημαντικές, είναι οι πολιτικές καταπολέμησης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της φτώχειας και του κοινωνικού αποκλεισμού. </w:t>
      </w:r>
      <w:r>
        <w:rPr>
          <w:position w:val="0"/>
          <w:sz w:val="24"/>
          <w:szCs w:val="24"/>
          <w:rFonts w:ascii="Arial" w:eastAsia="Arial" w:hAnsi="Arial" w:hint="default"/>
        </w:rPr>
        <w:tab/>
      </w:r>
      <w:r>
        <w:rPr>
          <w:position w:val="0"/>
          <w:sz w:val="24"/>
          <w:szCs w:val="24"/>
          <w:rFonts w:ascii="Arial" w:eastAsia="Arial" w:hAnsi="Arial" w:hint="default"/>
        </w:rPr>
        <w:t xml:space="preserve">Μέσα στη νέα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παγκοσμιοποιημένη αγορά δημιουργούνται ευκαιρίες για οικονομική πρόοδο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αλλά και κίνδυνοι φτώχειας και κοινωνικού αποκλεισμού. 18% του πληθυσμού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της Ευρωπαϊκής Ένωσης ζούσε σε συνθήκες φτώχειας, σύμφωνα με τη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Eurostat, το 2001. Τα ποσοστά αυτά αυξάνονται στο 24,4% για το 2013 για τη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Ευρώπη και στο 35,7% για την Ελλάδα. Διαπιστώθηκε για το 10% του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πληθυσμού στην Ευρώπη σοβαρή υλική στέρηση (ένδεια). Αν και 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απασχόληση, η εργασία, αποτελεί τον καλύτερο τρόπο αντιμετώπισης της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φτώχειας, ένα αρκετά μεγάλο ποσοστό εργαζομένων ζουν σε συνθήκες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φτώχειας. Η αποτελεσματική αντιμετώπιση της φτώχειας προϋποθέτει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ενσωματωμένες δράσεις σε μια ευρεία γκάμα πολιτικών όπως η κοινωνική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προστασία για την κατοικία, την εκπαίδευση, την κινητικότητα και τον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πολιτισμό. Από τη δεκαετία του 90 και μετά, η αντιμετώπιση του κοινωνικού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αποκλεισμού παραμένει μια βασική προτεραιότητα για πολλές κυβερνήσεις.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Οι νέες μορφές συν-εργατικότητας που έχουν πρόσφατα αναδυθεί,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συμπεριλαμβανομένων σε αρκετές περιπτώσεις, των κοινωνικά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αποκλεισμένων, είναι πολύ σημαντικές και ουσιαστικές για την καταπολέμηση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του κοινωνικού αποκλεισμού. Καθώς η φτώχεια και ο κοινωνικός αποκλεισμός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είναι δυναμικά φαινόμενα που παρουσιάζουν τάση αύξησης, είναι αναγκαία 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δημιουργία σημείων αναφοράς, η συνεργασία και το μοίρασμα πληροφοριών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και εμπειριών σχετικά με τα φαινόμενα αυτά μεταξύ των μελών-κρατών της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Ευρωπαϊκής Ένωσης (Ferrera et al., 2001, Eurostat, 2014).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ab/>
      </w:r>
      <w:r>
        <w:rPr>
          <w:position w:val="0"/>
          <w:sz w:val="24"/>
          <w:szCs w:val="24"/>
          <w:rFonts w:ascii="Arial" w:eastAsia="Arial" w:hAnsi="Arial" w:hint="default"/>
        </w:rPr>
        <w:t xml:space="preserve">Ο Κούγιας (2008) απ’την πλευρά του, δίνει σε άρθρο του μια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εκτεταμένη περιγραφή της επίδρασης της παγκοσμιοποίησης στην οικονομία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και την κοινωνία της Ευρώπης που συμπεριλαμβάνει επίσης τα υπάρχοντα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μοντέλα άσκησης κοινωνικής πολιτικής, καθώς και μια εκτενή αφήγηση και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κριτική σχετικά με την «ευασφάλεια». </w:t>
      </w:r>
    </w:p>
    <w:p>
      <w:pPr>
        <w:numPr>
          <w:ilvl w:val="0"/>
          <w:numId w:val="0"/>
        </w:numPr>
        <w:jc w:val="both"/>
        <w:spacing w:lineRule="auto" w:line="259" w:before="0" w:after="160"/>
        <w:ind w:firstLine="72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Σύμφωνα με τον Woods (2001), τρία είναι τα βασικά χαρακτηριστικά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της παγκοσμιοποίησης που είναι πολύ χρήσιμα κατά την προσπάθεια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επαναπροσδιορισμού του περιεχομένου της έννοιας της Κοινωνικής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Ευρώπης : η διεθνοποίηση, η τεχνολογική επανάσταση και η απελευθέρωση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του χρηματοπιστωτικού και επενδυτικού τομέα. Η διεθνοποίηση αναφέρεται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στην μεγέθυνση των διεθνών οικονομικών δοσοληψιών, την απελευθέρωση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των αγορών και της παραγωγής, την εξάπλωση της πολυεθνικής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επιχειρηματικής δράσης. Αναφορικά με την τεχνολογική επανάσταση,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παρατηρούμε ότι οι αποστάσεις εκμηδενίζονται και η πληροφορία μπορεί να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ρέει ταυτόχρονα σε πολλά σημεία με τη βοήθεια του διαδικτύου και άλλων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σύγχρονων μορφών τεχνολογίας. Η απελευθέρωση του χρηματοπιστωτικού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τομέα συνοδεύεται από εντατικοποίηση του ανταγωνισμού στον τομέα των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υπηρεσιών, την απορρύθμιση στην αγορά εργασίας και στα συστήματα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κοινωνικής προστασίας, καθώς και τον περιορισμό της κρατικής παρέμβασης.</w:t>
      </w:r>
    </w:p>
    <w:p>
      <w:pPr>
        <w:numPr>
          <w:ilvl w:val="0"/>
          <w:numId w:val="0"/>
        </w:numPr>
        <w:jc w:val="both"/>
        <w:spacing w:lineRule="auto" w:line="259" w:before="0" w:after="160"/>
        <w:ind w:firstLine="72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 Όμως, η βασική αντιφατικότητα, κατά τον Κούγια (2008), που έχει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επιφέρει η παγκοσμιοποίηση είναι αυτή μεταξύ της παραγωγής πλούτου και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της σχετικά δίκαιης κατανομής του. Θεωρεί ότι η οξύτητα των ανισοτήτων και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της περιθωριοποίησης συναρτάται κατά ένα μέρος από την αυξανόμενη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ανισορροπία μεταξύ κεφαλαίου και εργασίας. Η κίνηση του κεφαλαίου γίνεται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σε παγκόσμια κλίμακα, ενώ η εργασία παραμένει ενταγμένη στο πλαίσιο των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κρατών-εθνών. Ζητούμενο στην Ευρώπη είναι η ανάπτυξη που θα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συνοδεύεται από δίκτυ κοινωνικής προστασίας. Η ανεργία στην Ευρώπη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αυξάνεται τη στιγμή που ολόκληρες παραγωγικές μονάδες μεταφέρονται σε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χώρες της Ασίας με στόχο την μείωση του παραγωγικού κόστους. Οι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ευέλικτες μορφές απασχόλησης κερδίζουν ολοένα και περισσότερο έδαφος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έναντι της σταθερής, μισθωτής εργασίας, διαδικασία που διευκολύνεται και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από τις εξελίξεις στην τεχνολογία. Μια ακόμη σημαντική συνιστώσα του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προβλήματος αποτελεί η δημογραφική γήρανση του πληθυσμού που έχει ως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συνέπεια αύξηση των αναγκών κοινωνικής προστασίας και ελάττωση του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οικονομικά ενεργού πληθυσμού, συνεπώς και κρατικών πόρων. Στα πλαίσια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της Ευρωπαϊκής Ένωσης έχουν παρθεί σχετικές πρωτοβουλίες για την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προσαρμογής της ΕΕ στις συνθήκες της παγκοσμιοποίησης. Συγκεκριμένα, 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συνθήκη της Λισσαβόνας θέτει στόχους που αφορούν αυτή την προσαρμογή: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θεωρείται αναγκαίο η ΕΕ να πάρει πρωτοβουλίες που αφορούν τις κλιματικές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αλλαγές και τον τομέα της ενέργειας, να ενισχυθούν περισσότερο τα πλαίσια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για την προληπτική εποπτεία και την καθαρότητα των χρηματο-οικονομικών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αγορών και να διατηρηθεί ο ηγετικός ρόλος της ΕΕ στην προώθηση των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ελεύθερων συναλλαγών. Επίσης τονίζεται η ανάγκη για διαμοιρασμό της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ευθύνης για την παγκόσμια ασφάλεια και σταθερότητα καθώς και για την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προώθηση μιας συνολικής πολιτικής μετανάστευσης.</w:t>
      </w:r>
    </w:p>
    <w:p>
      <w:pPr>
        <w:numPr>
          <w:ilvl w:val="0"/>
          <w:numId w:val="0"/>
        </w:numPr>
        <w:jc w:val="both"/>
        <w:spacing w:lineRule="auto" w:line="259" w:before="0" w:after="160"/>
        <w:ind w:firstLine="72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Αναφορικά με το θέμα της flexicurity, o Κούγιας παρουσιάζεται πολύ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θετικός και  παρόλο που τονίζει την ανάγκη προσαρμογής τέτοιου είδους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μοντέλων σε κάθε χώρα ή ακόμη και σε κάθε επιχείρηση χωριστά, δίνοντας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έμφαση σε πολλές πλευρές τους, αποφεύγει θα μπορούσαμε να πούμε την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αρνητική κριτική, διαπνεόμενος από το πνεύμα της συμπόρευσης με τις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Ευρωπαϊκές οδηγίες και στόχους. Τονίζει ωστόσο ότι στις χώρες όπου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εφαρμόστηκε η «ευασφάλεια» ευνόησε περισσότερο συγκεκριμένες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κατηγορίες εργαζομένων, αυτών με τα υψηλά προσόντα π.χ. Υποστηρίζει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τέλος πως θα πρέπει να δούμε την κοινωνική πολιτική όχι μόνο ως μέσο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αναδιανεμητικής πολιτικής αλλά και ως παραγωγικό συντελεστή που στοχεύει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στην κοινωνική επένδυση, άρα στον άνθρωπο. Προχωρούμε από μια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«Ευρωπαϊκή κοινωνική ταυτότητα» στη διαμόρφωση μιας «Ευρωπαϊκή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κοινωνική διάστασης» που έχει ως επίκεντρο την Ευρωπαϊκή κοινωνική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πολιτική (Κούγιας,2008).</w:t>
      </w:r>
    </w:p>
    <w:p>
      <w:pPr>
        <w:numPr>
          <w:ilvl w:val="0"/>
          <w:numId w:val="0"/>
        </w:numPr>
        <w:jc w:val="both"/>
        <w:spacing w:lineRule="auto" w:line="259" w:before="0" w:after="160"/>
        <w:ind w:firstLine="72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Τέλος, στο συλλογικό έργο με την επιμέλεια Σακελλαρόπουλου (2011)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μπορούμε αναλυτικά να ενημερωθούμε για την κοινωνική διάσταση της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Ευρώπης, όπου αναφέρονται αναλυτικά οι συνθήκες, τα εργαλεία και οι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πολιτικές της ΕΕ αναφορικά με την απασχόληση, την υγεία, την εκπαίδευση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και άλλους επιμέρους τομείς δράσης. ΄Άξια λόγου είναι η περιγραφή των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Ευρωπαϊκών Συνθηκών από τον Στεργίου (2011) ο οποίος κάνει ξεκάθαρη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την ανάγκη για δημιουργία ευρωπαϊκού σχεδίου αλληλεγγύης και προστασίας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των εθνικών συστημάτων κοινωνικής προστασίας, στα πλαίσια της ενιαίας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νομισματικής πολιτικής καθώς και ανάγκης διεκδίκησης κοινωνικών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δικαιωμάτων μέσω των κινημάτων (Στεργίου, 2011).</w:t>
      </w:r>
    </w:p>
    <w:p>
      <w:pPr>
        <w:numPr>
          <w:ilvl w:val="0"/>
          <w:numId w:val="0"/>
        </w:numPr>
        <w:jc w:val="both"/>
        <w:spacing w:lineRule="auto" w:line="259" w:before="0" w:after="160"/>
        <w:ind w:firstLine="72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firstLine="720"/>
        <w:rPr>
          <w:b w:val="1"/>
          <w:position w:val="0"/>
          <w:sz w:val="28"/>
          <w:szCs w:val="28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>Συμπεράσματα</w:t>
      </w:r>
    </w:p>
    <w:p>
      <w:pPr>
        <w:numPr>
          <w:ilvl w:val="0"/>
          <w:numId w:val="0"/>
        </w:numPr>
        <w:jc w:val="both"/>
        <w:spacing w:lineRule="auto" w:line="259" w:before="0" w:after="160"/>
        <w:ind w:firstLine="72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Είναι φανερό πως η παγκοσμιοποιημένη οικονομία που χαρακτηρίζεται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από την ταχεία εξάπλωση της πληροφορίας, την αναπτυγμένη τεχνολογία, την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ένωση και σύνδεση των αγορών αλλά και των ιδεών και γνώσεων, έχει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σίγουρα σημαντική επίδραση στην οικονομική και κοινωνική ζωή της 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Ευρώπης. Για να γίνουμε πιο συγκεκριμένοι, το κράτος πρόνοιας που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εγκαθιδρύθηκε στα τέλη του 19</w:t>
      </w:r>
      <w:r>
        <w:rPr>
          <w:vertAlign w:val="superscript"/>
          <w:position w:val="0"/>
          <w:sz w:val="24"/>
          <w:szCs w:val="24"/>
          <w:rFonts w:ascii="Arial" w:eastAsia="Arial" w:hAnsi="Arial" w:hint="default"/>
        </w:rPr>
        <w:t>ου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 αιώνα και πέρασε από διάφορα στάδια μέχρι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τις μέρες μας έχει υποστεί σημαντικές μεταβολές και αλλοιώσεις λόγω της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παγκοσμιοποίησης, ιδιαίτερα τις τελευταίες δεκαετίες του 20</w:t>
      </w:r>
      <w:r>
        <w:rPr>
          <w:vertAlign w:val="superscript"/>
          <w:position w:val="0"/>
          <w:sz w:val="24"/>
          <w:szCs w:val="24"/>
          <w:rFonts w:ascii="Arial" w:eastAsia="Arial" w:hAnsi="Arial" w:hint="default"/>
        </w:rPr>
        <w:t>ου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 αιώνα.</w:t>
      </w:r>
    </w:p>
    <w:p>
      <w:pPr>
        <w:numPr>
          <w:ilvl w:val="0"/>
          <w:numId w:val="0"/>
        </w:numPr>
        <w:jc w:val="both"/>
        <w:spacing w:lineRule="auto" w:line="259" w:before="0" w:after="160"/>
        <w:ind w:firstLine="72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Αρκετοί επιστήμονες όπως ο Rodrik (1998) και ο Iversen (2001)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θεωρούν ότι αυτές οι μεταβολές δεν είναι ικανές να βλάψουν το κράτος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πρόνοιας ή ότι δεν είναι απαραίτητα αρνητικές. Άλλοι, όπως ο Pierson (2001)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αποσυνδέουν τις μεταβολές αυτές από την παγκοσμιοποίηση και τις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αποδίδουν σε άλλους παράγοντες ή κρατούν μια επιφυλακτικότερη στάση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μεταξύ των θετικών και αρνητικών επιδράσεων. Κάποιοι άλλοι τάσσονται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φανερά υπέρ μέτρων που διορθώνουν μεν τις επιδράσεις της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παγκοσμιοποιημένης οικονομίας, πλήττουν όμως το κράτος πρόνοιας,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τουλάχιστον όπως το γνωρίζουμε στην παραδοσιακή μορφή του που στοχεύει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στην παροχή κοινωνικής προστασίας (καθολική σε αρκετές περιπτώσεις).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Ένα από τα μέτρα αυτά είναι η flexicurity, η «ευασφάλεια», όρος που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επινοήθηκε για να εκφράσει το συμβιβασμό μεταξύ απαιτήσεων της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εργοδοσίας και της ασφάλειας των εργαζομένων. Η «ευασφάλεια» εγκαινίασε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νέες μορφές ευέλικτης εργασίας και παροχών που σε πολλές περιπτώσεις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τραυματίζουν σοβαρά παρά ευνοούν τα δίκαια των εργαζομένων. Προτείνεται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ακόμη προσανατολισμός προς την αλληλεγγύη και ένα πιο κοινωνικό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πρόσωπο της Ευρώπης.</w:t>
      </w:r>
    </w:p>
    <w:p>
      <w:pPr>
        <w:numPr>
          <w:ilvl w:val="0"/>
          <w:numId w:val="0"/>
        </w:numPr>
        <w:jc w:val="both"/>
        <w:spacing w:lineRule="auto" w:line="259" w:before="0" w:after="160"/>
        <w:ind w:firstLine="72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Όποια και να είναι η υποκειμενική γνώμη του καθενός, είναι εμφανές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πως επιδράσεις υπάρχουν, όσο και να θέλουμε να τις παραγνωρίσουμε ή να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τις αγνοήσουμε. Το κράτος πρόνοιας πλήττεται όχι μόνο λόγω της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παγκοσμιοποίησης της οικονομίας αλλά κυρίως λόγω της οικονομικής κρίσης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που αυτή έχει επιφέρει και αποτελεί πραγματική πρόκληση η προστασία και 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προσαρμογή του με τον καλύτερο τρόπο από τα κράτη, αλλά και από τους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ίδιους τους πολίτες της ΕΕ. Οι λύσεις ποικίλουν από καθαρά τεχνοκρατικές ή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θεσμικές σε πιο δυναμικές όπως η αφύπνιση των κινημάτων. Είναι στο χέρι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μας να τις σχεδιάσουμε και να τις πραγματοποιήσουμε.</w:t>
      </w:r>
    </w:p>
    <w:p>
      <w:pPr>
        <w:numPr>
          <w:ilvl w:val="0"/>
          <w:numId w:val="0"/>
        </w:numPr>
        <w:jc w:val="both"/>
        <w:spacing w:lineRule="auto" w:line="259" w:before="0" w:after="160"/>
        <w:ind w:firstLine="72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259" w:before="0" w:after="160"/>
        <w:ind w:firstLine="72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ab/>
      </w: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b w:val="1"/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b w:val="1"/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b w:val="1"/>
          <w:position w:val="0"/>
          <w:sz w:val="28"/>
          <w:szCs w:val="28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>Βιβλιογραφία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i w:val="1"/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Γεωργακόπουλος, Θ., Λιανού, Θ., Μπένου, Θ., Τσεκούρα, Γ.,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Χατζηπροκοπίου, Μ., Χρήστου, Γ.(2007) </w:t>
      </w:r>
      <w:r>
        <w:rPr>
          <w:i w:val="1"/>
          <w:position w:val="0"/>
          <w:sz w:val="24"/>
          <w:szCs w:val="24"/>
          <w:rFonts w:ascii="Arial" w:eastAsia="Arial" w:hAnsi="Arial" w:hint="default"/>
        </w:rPr>
        <w:t xml:space="preserve">Πολιτική Οικονομία, Εκδόσεις </w:t>
      </w:r>
      <w:r>
        <w:rPr>
          <w:i w:val="1"/>
          <w:position w:val="0"/>
          <w:sz w:val="24"/>
          <w:szCs w:val="24"/>
          <w:rFonts w:ascii="Arial" w:eastAsia="Arial" w:hAnsi="Arial" w:hint="default"/>
        </w:rPr>
        <w:t xml:space="preserve">Μπένου: Αθήνα.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Γιαννακόπουλος, Δ. (2007) «Η γένεση του Ευρωπαϊκού κράτους πρόνοιας και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η ανάδειξη της παιδείας ως δημόσιου αγαθού», Δελτίο εκπαιδευτικής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αρθρογραφίας, Παιδαγωγικό Ινστιτούτο: Αθήνα.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Eurostat news release (2014) “ At risk of poverty or social exclusion in the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EU28-More than 120 million persons at risk of poverty or social exclusion in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2013”, Eurostat press office: Luxemburg.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Ewald, F. (2000) </w:t>
      </w:r>
      <w:r>
        <w:rPr>
          <w:i w:val="1"/>
          <w:position w:val="0"/>
          <w:sz w:val="24"/>
          <w:szCs w:val="24"/>
          <w:rFonts w:ascii="Arial" w:eastAsia="Arial" w:hAnsi="Arial" w:hint="default"/>
        </w:rPr>
        <w:t xml:space="preserve">Η ιστορία του κράτους Πρόνοιας,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Εκδόσεις Gutenberg: </w:t>
      </w:r>
      <w:r>
        <w:rPr>
          <w:position w:val="0"/>
          <w:sz w:val="24"/>
          <w:szCs w:val="24"/>
          <w:rFonts w:ascii="Arial" w:eastAsia="Arial" w:hAnsi="Arial" w:hint="default"/>
        </w:rPr>
        <w:t>Αθήνα.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Ferrera, M., Hemerijck, A., Rhodes, M.(2001) “The future of social Europe: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Recasting Work and Welfare in the New Economy” in</w:t>
      </w:r>
      <w:r>
        <w:rPr>
          <w:i w:val="1"/>
          <w:position w:val="0"/>
          <w:sz w:val="24"/>
          <w:szCs w:val="24"/>
          <w:rFonts w:ascii="Arial" w:eastAsia="Arial" w:hAnsi="Arial" w:hint="default"/>
        </w:rPr>
        <w:t xml:space="preserve"> The Global Third Way </w:t>
      </w:r>
      <w:r>
        <w:rPr>
          <w:i w:val="1"/>
          <w:position w:val="0"/>
          <w:sz w:val="24"/>
          <w:szCs w:val="24"/>
          <w:rFonts w:ascii="Arial" w:eastAsia="Arial" w:hAnsi="Arial" w:hint="default"/>
        </w:rPr>
        <w:t xml:space="preserve">Debate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by Giddens, Polity Press: Cambridge.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Garrett, Geoffrey. 1998. </w:t>
      </w:r>
      <w:r>
        <w:rPr>
          <w:i w:val="1"/>
          <w:position w:val="0"/>
          <w:sz w:val="24"/>
          <w:szCs w:val="24"/>
          <w:rFonts w:ascii="Arial" w:eastAsia="Arial" w:hAnsi="Arial" w:hint="default"/>
        </w:rPr>
        <w:t xml:space="preserve">Partisan Politics in the Global Economy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, Cambridge: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Cambridge University Press.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Genschel, P. (2004) “Globalization and the Welfare State: a retrospective”,</w:t>
      </w:r>
      <w:r>
        <w:rPr>
          <w:i w:val="1"/>
          <w:position w:val="0"/>
          <w:sz w:val="24"/>
          <w:szCs w:val="24"/>
          <w:rFonts w:ascii="Arial" w:eastAsia="Arial" w:hAnsi="Arial" w:hint="default"/>
        </w:rPr>
        <w:t xml:space="preserve"> </w:t>
      </w:r>
      <w:r>
        <w:rPr>
          <w:i w:val="1"/>
          <w:position w:val="0"/>
          <w:sz w:val="24"/>
          <w:szCs w:val="24"/>
          <w:rFonts w:ascii="Arial" w:eastAsia="Arial" w:hAnsi="Arial" w:hint="default"/>
        </w:rPr>
        <w:t xml:space="preserve">Journal of European Public Policy,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Vol. 11(4).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Giddens, A. (2001) </w:t>
      </w:r>
      <w:r>
        <w:rPr>
          <w:i w:val="1"/>
          <w:position w:val="0"/>
          <w:sz w:val="24"/>
          <w:szCs w:val="24"/>
          <w:rFonts w:ascii="Arial" w:eastAsia="Arial" w:hAnsi="Arial" w:hint="default"/>
        </w:rPr>
        <w:t xml:space="preserve">The Global Third Way Debate,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Polity Press: Cambridge.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Gosta Esping-Anersen, Gallie, D.,Myles, J., Hemerijck, A. (2006) </w:t>
      </w:r>
      <w:r>
        <w:rPr>
          <w:i w:val="1"/>
          <w:position w:val="0"/>
          <w:sz w:val="24"/>
          <w:szCs w:val="24"/>
          <w:rFonts w:ascii="Arial" w:eastAsia="Arial" w:hAnsi="Arial" w:hint="default"/>
        </w:rPr>
        <w:t xml:space="preserve">Γιατί </w:t>
      </w:r>
      <w:r>
        <w:rPr>
          <w:i w:val="1"/>
          <w:position w:val="0"/>
          <w:sz w:val="24"/>
          <w:szCs w:val="24"/>
          <w:rFonts w:ascii="Arial" w:eastAsia="Arial" w:hAnsi="Arial" w:hint="default"/>
        </w:rPr>
        <w:t xml:space="preserve">χρειαζόμαστε ένα νέο κοινωνικό κράτος,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εκδόσεις Διόνικος: Αθήνα.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Iversen, T., Estevez-Abe, M., SosKice, D. (2001) “Social Protection and the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formation of skills: a Reinterpretation of the Welfare State”</w:t>
      </w:r>
      <w:r>
        <w:rPr>
          <w:i w:val="1"/>
          <w:color w:val="222222"/>
          <w:position w:val="0"/>
          <w:sz w:val="20"/>
          <w:szCs w:val="20"/>
          <w:shd w:val="clear" w:color="000000" w:fill="FFFFFF"/>
          <w:rFonts w:ascii="Arial" w:eastAsia="Arial" w:hAnsi="Arial" w:hint="default"/>
        </w:rPr>
        <w:t xml:space="preserve"> </w:t>
      </w:r>
      <w:r>
        <w:rPr>
          <w:i w:val="1"/>
          <w:color w:val="222222"/>
          <w:position w:val="0"/>
          <w:sz w:val="24"/>
          <w:szCs w:val="24"/>
          <w:shd w:val="clear" w:color="000000" w:fill="FFFFFF"/>
          <w:rFonts w:ascii="Arial" w:eastAsia="Arial" w:hAnsi="Arial" w:hint="default"/>
        </w:rPr>
        <w:t xml:space="preserve">Varieties of </w:t>
      </w:r>
      <w:r>
        <w:rPr>
          <w:i w:val="1"/>
          <w:color w:val="222222"/>
          <w:position w:val="0"/>
          <w:sz w:val="24"/>
          <w:szCs w:val="24"/>
          <w:shd w:val="clear" w:color="000000" w:fill="FFFFFF"/>
          <w:rFonts w:ascii="Arial" w:eastAsia="Arial" w:hAnsi="Arial" w:hint="default"/>
        </w:rPr>
        <w:t xml:space="preserve">capitalism. The institutional foundations of comparative advantage, </w:t>
      </w:r>
      <w:r>
        <w:rPr>
          <w:i w:val="1"/>
          <w:color w:val="222222"/>
          <w:position w:val="0"/>
          <w:sz w:val="24"/>
          <w:szCs w:val="24"/>
          <w:shd w:val="clear" w:color="000000" w:fill="FFFFFF"/>
          <w:rFonts w:ascii="Arial" w:eastAsia="Arial" w:hAnsi="Arial" w:hint="default"/>
        </w:rPr>
        <w:t>Oxford</w:t>
      </w:r>
      <w:r>
        <w:rPr>
          <w:color w:val="222222"/>
          <w:position w:val="0"/>
          <w:sz w:val="24"/>
          <w:szCs w:val="24"/>
          <w:shd w:val="clear" w:color="000000" w:fill="FFFFFF"/>
          <w:rFonts w:ascii="Arial" w:eastAsia="Arial" w:hAnsi="Arial" w:hint="default"/>
        </w:rPr>
        <w:t xml:space="preserve"> :145</w:t>
      </w:r>
    </w:p>
    <w:p>
      <w:pPr>
        <w:numPr>
          <w:ilvl w:val="0"/>
          <w:numId w:val="0"/>
        </w:numPr>
        <w:jc w:val="center"/>
        <w:spacing w:lineRule="auto" w:line="259" w:before="0" w:after="160"/>
        <w:ind w:left="0" w:hanging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Κατηφόρης, Γ.(2003) «Μελλοντικές προοπτικές-οικοδομώντας στην ανοιχτή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μέθοδο συντονισμού και στα λοιπά μέσα»-εισήγηση στο Διεθνές συνέδριο «Ο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εκσυγχρονισμός του Ευρωπαϊκού Κοινωνικού Μοντέλου-Πολιτικές και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εργαλεία της Ε.Ε.», Ευρωπαϊκό Κέντρο Δημοσίου Δικαίου: Αθήνα.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Κεραμάρη, Γ. « Flexicurity εργασίας-Αναπτυξιακός μοχλός ή τροχοπέδη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εργασιακών δικαιωμάτων;»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Website: </w:t>
      </w:r>
      <w:hyperlink r:id="rId5">
        <w:r>
          <w:rPr>
            <w:rStyle w:val="PO151"/>
            <w:color w:val="0563C1" w:themeColor="hyperlink"/>
            <w:position w:val="0"/>
            <w:sz w:val="24"/>
            <w:szCs w:val="24"/>
            <w:u w:val="single"/>
            <w:rFonts w:ascii="Arial" w:eastAsia="Arial" w:hAnsi="Arial" w:hint="default"/>
          </w:rPr>
          <w:t>http://socialactivism.gr/index.php/koinoniki-oikonomia/48-flexicurity</w:t>
        </w:r>
      </w:hyperlink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Προσπελάστηκε 20/12/2014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Κούγιας, Γ. (2008) «Παγκοσμιοποίηση και Ευρωπαϊκό Κοινωνικό Πρότυπο: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Τάσεις προς μια νέα Ευρωπαϊκή κοινωνική ταυτότητα. Το παράδειγμα της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ευελισφάλειας» ανακοίνωση για το Γ Πανελλήνιο συνέδριο Διεθνούς Πολιτικής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Οικονομίας: « Η διεθνής οικονομία στον 21ο Αιώνα. Προς την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παγκοσμιοποίηση ή προς την κυριαρχία των περιφερειακών συνεργασιών»,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Ινστιτούτο Διεθνών Οικονομικών Σχέσεων: Αθήνα.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Ματσαγγάνης, Μ.(2011) </w:t>
      </w:r>
      <w:r>
        <w:rPr>
          <w:i w:val="1"/>
          <w:position w:val="0"/>
          <w:sz w:val="24"/>
          <w:szCs w:val="24"/>
          <w:rFonts w:ascii="Arial" w:eastAsia="Arial" w:hAnsi="Arial" w:hint="default"/>
        </w:rPr>
        <w:t xml:space="preserve">Η κοινωνική πολιτική σε δύσκολους καιρούς-</w:t>
      </w:r>
      <w:r>
        <w:rPr>
          <w:i w:val="1"/>
          <w:position w:val="0"/>
          <w:sz w:val="24"/>
          <w:szCs w:val="24"/>
          <w:rFonts w:ascii="Arial" w:eastAsia="Arial" w:hAnsi="Arial" w:hint="default"/>
        </w:rPr>
        <w:t xml:space="preserve">Οικονομική κρίση, δημοσιονομική λιτότητα και κοινωνική προστασία,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Eκδόσεις Κριτική: Αθήνα.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Pierson, P.(2001) </w:t>
      </w:r>
      <w:r>
        <w:rPr>
          <w:i w:val="1"/>
          <w:position w:val="0"/>
          <w:sz w:val="24"/>
          <w:szCs w:val="24"/>
          <w:rFonts w:ascii="Arial" w:eastAsia="Arial" w:hAnsi="Arial" w:hint="default"/>
        </w:rPr>
        <w:t xml:space="preserve">The new politics of the welfare state,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Oxford University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Press: New York.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Rodrik, Dani. 1997. </w:t>
      </w:r>
      <w:r>
        <w:rPr>
          <w:i w:val="1"/>
          <w:position w:val="0"/>
          <w:sz w:val="24"/>
          <w:szCs w:val="24"/>
          <w:rFonts w:ascii="Arial" w:eastAsia="Arial" w:hAnsi="Arial" w:hint="default"/>
        </w:rPr>
        <w:t xml:space="preserve">Has Globalization Gone Too Far?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 Washington DC: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Institute for International Economics.</w:t>
      </w:r>
      <w:r>
        <w:rPr>
          <w:position w:val="0"/>
          <w:sz w:val="24"/>
          <w:szCs w:val="24"/>
          <w:rFonts w:ascii="Arial" w:eastAsia="Arial" w:hAnsi="Arial" w:hint="default"/>
        </w:rPr>
        <w:br/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Σακελλαρόπουλος, Θ. (2011) </w:t>
      </w:r>
      <w:r>
        <w:rPr>
          <w:i w:val="1"/>
          <w:position w:val="0"/>
          <w:sz w:val="24"/>
          <w:szCs w:val="24"/>
          <w:rFonts w:ascii="Arial" w:eastAsia="Arial" w:hAnsi="Arial" w:hint="default"/>
        </w:rPr>
        <w:t xml:space="preserve">Ζητήματα Κοινωνικής Πολιτικής,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 2</w:t>
      </w:r>
      <w:r>
        <w:rPr>
          <w:vertAlign w:val="superscript"/>
          <w:position w:val="0"/>
          <w:sz w:val="24"/>
          <w:szCs w:val="24"/>
          <w:rFonts w:ascii="Arial" w:eastAsia="Arial" w:hAnsi="Arial" w:hint="default"/>
        </w:rPr>
        <w:t>η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 έκδοση,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Εκδόσεις Διόνικος: Αθήνα.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Σακελλαρόπουλος, Θ. επιμ.(2001) </w:t>
      </w:r>
      <w:r>
        <w:rPr>
          <w:i w:val="1"/>
          <w:position w:val="0"/>
          <w:sz w:val="24"/>
          <w:szCs w:val="24"/>
          <w:rFonts w:ascii="Arial" w:eastAsia="Arial" w:hAnsi="Arial" w:hint="default"/>
        </w:rPr>
        <w:t xml:space="preserve">Η Κοινωνική Πολιτική της Ευρωπαϊκής </w:t>
      </w:r>
      <w:r>
        <w:rPr>
          <w:i w:val="1"/>
          <w:position w:val="0"/>
          <w:sz w:val="24"/>
          <w:szCs w:val="24"/>
          <w:rFonts w:ascii="Arial" w:eastAsia="Arial" w:hAnsi="Arial" w:hint="default"/>
        </w:rPr>
        <w:t xml:space="preserve">Ένωσης,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Εκδόσεις Διόνικος: Αθήνα.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Σολδάτος, Θ.(2009) «Η κρίση του 1929 και η επίδρασή της στο Μεταπολεμικό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Κοινωνικό Κράτος» στο </w:t>
      </w:r>
      <w:r>
        <w:rPr>
          <w:i w:val="1"/>
          <w:position w:val="0"/>
          <w:sz w:val="24"/>
          <w:szCs w:val="24"/>
          <w:rFonts w:ascii="Arial" w:eastAsia="Arial" w:hAnsi="Arial" w:hint="default"/>
        </w:rPr>
        <w:t xml:space="preserve">ΕΠΟ11 Κοινωνική και Οικονομική Ιστορία της </w:t>
      </w:r>
      <w:r>
        <w:rPr>
          <w:i w:val="1"/>
          <w:position w:val="0"/>
          <w:sz w:val="24"/>
          <w:szCs w:val="24"/>
          <w:rFonts w:ascii="Arial" w:eastAsia="Arial" w:hAnsi="Arial" w:hint="default"/>
        </w:rPr>
        <w:t>Ευρώπης</w:t>
      </w:r>
      <w:r>
        <w:rPr>
          <w:position w:val="0"/>
          <w:sz w:val="24"/>
          <w:szCs w:val="24"/>
          <w:rFonts w:ascii="Arial" w:eastAsia="Arial" w:hAnsi="Arial" w:hint="default"/>
        </w:rPr>
        <w:t>,</w:t>
      </w:r>
      <w:r>
        <w:rPr>
          <w:i w:val="1"/>
          <w:position w:val="0"/>
          <w:sz w:val="24"/>
          <w:szCs w:val="24"/>
          <w:rFonts w:ascii="Arial" w:eastAsia="Arial" w:hAnsi="Arial" w:hint="default"/>
        </w:rPr>
        <w:t xml:space="preserve"> 4η εργασία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, εκδόσεις ΕΑΠ: Πάτρα.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Website: </w:t>
      </w:r>
      <w:hyperlink r:id="rId6">
        <w:r>
          <w:rPr>
            <w:rStyle w:val="PO151"/>
            <w:color w:val="0563C1" w:themeColor="hyperlink"/>
            <w:position w:val="0"/>
            <w:sz w:val="24"/>
            <w:szCs w:val="24"/>
            <w:u w:val="single"/>
            <w:rFonts w:ascii="Arial" w:eastAsia="Arial" w:hAnsi="Arial" w:hint="default"/>
          </w:rPr>
          <w:t>http://www.grcrun11.gr/~theodore/EAP/EPO11/EPO11_Ergasia4CCL.pdf</w:t>
        </w:r>
      </w:hyperlink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Προσπελάστηκε 20/11/2014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Σπυρόπουλος, Ρ.(2003) «Μελλοντικές προοπτικές-οικοδομώντας στην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ανοιχτή μέθοδο συντονισμού και στα λοιπά μέσα»-εισήγηση στο Διεθνές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συνέδριο «Ο εκσυγχρονισμός του Ευρωπαϊκού Κοινωνικού Μοντέλου-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Πολιτικές και εργαλεία της Ε.Ε.», Ευρωπαϊκό Κέντρο Δημοσίου Δικαίου: </w:t>
      </w:r>
      <w:r>
        <w:rPr>
          <w:position w:val="0"/>
          <w:sz w:val="24"/>
          <w:szCs w:val="24"/>
          <w:rFonts w:ascii="Arial" w:eastAsia="Arial" w:hAnsi="Arial" w:hint="default"/>
        </w:rPr>
        <w:t>Αθήνα.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Στασινοπούλου, Ο.(2006) Σημειώσεις για το μάθημα « Κοινωνική Πολιτική-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Βασικές έννοιες, Ιστορική Εξέλιξη, Φορείς και Πρότυπα», Πάντειο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Πανεπιστήμιο Κοινωνικών και Πολιτικών Επιστημών: Αθήνα.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i w:val="1"/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Στεργίου, Α.(2011) «Το κοινωνικό περιεχόμενο των Ευρωπαικών Συνθηκών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και η παραδοσιακή Κοινοτική Μέθοδος στην παραγωγή Ευρωπαικών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Κοινωνικών δικαιωμάτων» στο </w:t>
      </w:r>
      <w:r>
        <w:rPr>
          <w:i w:val="1"/>
          <w:position w:val="0"/>
          <w:sz w:val="24"/>
          <w:szCs w:val="24"/>
          <w:rFonts w:ascii="Arial" w:eastAsia="Arial" w:hAnsi="Arial" w:hint="default"/>
        </w:rPr>
        <w:t xml:space="preserve">Η Κοινωνική Πολιτική της Ευρωπαϊκής </w:t>
      </w:r>
      <w:r>
        <w:rPr>
          <w:i w:val="1"/>
          <w:position w:val="0"/>
          <w:sz w:val="24"/>
          <w:szCs w:val="24"/>
          <w:rFonts w:ascii="Arial" w:eastAsia="Arial" w:hAnsi="Arial" w:hint="default"/>
        </w:rPr>
        <w:t xml:space="preserve">Ένωσης (επιμ. Σακελλαρόπουλος), Εκδόσεις Διόνικος: Αθήνα.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i w:val="1"/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i w:val="1"/>
          <w:position w:val="0"/>
          <w:sz w:val="24"/>
          <w:szCs w:val="24"/>
          <w:rFonts w:ascii="Arial" w:eastAsia="Arial" w:hAnsi="Arial" w:hint="default"/>
        </w:rPr>
      </w:pPr>
      <w:r>
        <w:rPr>
          <w:color w:val="000000"/>
          <w:position w:val="0"/>
          <w:sz w:val="24"/>
          <w:szCs w:val="24"/>
          <w:shd w:val="clear" w:color="000000" w:fill="FFFFFF"/>
          <w:rFonts w:ascii="Arial" w:eastAsia="Arial" w:hAnsi="Arial" w:hint="default"/>
        </w:rPr>
        <w:t xml:space="preserve">Schwartz, H. (2001) “Round up the usual suspects! : Globalization, Domestic </w:t>
      </w:r>
      <w:r>
        <w:rPr>
          <w:color w:val="000000"/>
          <w:position w:val="0"/>
          <w:sz w:val="24"/>
          <w:szCs w:val="24"/>
          <w:shd w:val="clear" w:color="000000" w:fill="FFFFFF"/>
          <w:rFonts w:ascii="Arial" w:eastAsia="Arial" w:hAnsi="Arial" w:hint="default"/>
        </w:rPr>
        <w:t xml:space="preserve">Politics, and Welfare state change”, </w:t>
      </w:r>
      <w:r>
        <w:rPr>
          <w:i w:val="1"/>
          <w:color w:val="000000"/>
          <w:position w:val="0"/>
          <w:sz w:val="24"/>
          <w:szCs w:val="24"/>
          <w:shd w:val="clear" w:color="000000" w:fill="FFFFFF"/>
          <w:rFonts w:ascii="Arial" w:eastAsia="Arial" w:hAnsi="Arial" w:hint="default"/>
        </w:rPr>
        <w:t xml:space="preserve">The new politics of the welfare state,</w:t>
      </w:r>
      <w:r>
        <w:rPr>
          <w:color w:val="000000"/>
          <w:position w:val="0"/>
          <w:sz w:val="24"/>
          <w:szCs w:val="24"/>
          <w:shd w:val="clear" w:color="000000" w:fill="FFFFFF"/>
          <w:rFonts w:ascii="Arial" w:eastAsia="Arial" w:hAnsi="Arial" w:hint="default"/>
        </w:rPr>
        <w:t xml:space="preserve"> OUP </w:t>
      </w:r>
      <w:r>
        <w:rPr>
          <w:color w:val="000000"/>
          <w:position w:val="0"/>
          <w:sz w:val="24"/>
          <w:szCs w:val="24"/>
          <w:shd w:val="clear" w:color="000000" w:fill="FFFFFF"/>
          <w:rFonts w:ascii="Arial" w:eastAsia="Arial" w:hAnsi="Arial" w:hint="default"/>
        </w:rPr>
        <w:t>Oxford.</w:t>
      </w:r>
      <w:r>
        <w:rPr>
          <w:rStyle w:val="PO157"/>
          <w:color w:val="222222"/>
          <w:position w:val="0"/>
          <w:sz w:val="24"/>
          <w:szCs w:val="24"/>
          <w:shd w:val="clear" w:color="000000" w:fill="FFFFFF"/>
          <w:rFonts w:ascii="Arial" w:eastAsia="Arial" w:hAnsi="Arial" w:hint="default"/>
        </w:rPr>
        <w:t> </w:t>
      </w:r>
      <w:r>
        <w:rPr>
          <w:i w:val="1"/>
          <w:position w:val="0"/>
          <w:sz w:val="24"/>
          <w:szCs w:val="24"/>
          <w:rFonts w:ascii="Arial" w:eastAsia="Arial" w:hAnsi="Arial" w:hint="default"/>
        </w:rPr>
        <w:t xml:space="preserve"> 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i w:val="1"/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Woods, N. (2001) </w:t>
      </w:r>
      <w:r>
        <w:rPr>
          <w:i w:val="1"/>
          <w:position w:val="0"/>
          <w:sz w:val="24"/>
          <w:szCs w:val="24"/>
          <w:rFonts w:ascii="Arial" w:eastAsia="Arial" w:hAnsi="Arial" w:hint="default"/>
        </w:rPr>
        <w:t xml:space="preserve">International Political Economy in an age of Globalization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in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J. Baylis and S. Smith (eds) The Globalization of World Politics, Oxford </w:t>
      </w:r>
      <w:r>
        <w:rPr>
          <w:position w:val="0"/>
          <w:sz w:val="24"/>
          <w:szCs w:val="24"/>
          <w:rFonts w:ascii="Arial" w:eastAsia="Arial" w:hAnsi="Arial" w:hint="default"/>
        </w:rPr>
        <w:t xml:space="preserve">University Press.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2"/>
          <w:szCs w:val="22"/>
          <w:rFonts w:ascii="Calibri" w:eastAsia="Calibri" w:hAnsi="Calibri" w:hint="default"/>
        </w:rPr>
      </w:pPr>
    </w:p>
    <w:sectPr>
      <w:footerReference w:type="default" r:id="rId7"/>
      <w:pgSz w:w="11906" w:h="16838"/>
      <w:pgMar w:top="1440" w:left="1800" w:bottom="1440" w:right="1800" w:header="708" w:footer="708" w:gutter="0"/>
      <w:pgNumType w:fmt="decimal" w:start="0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pStyle w:val="PO155"/>
      <w:numPr>
        <w:ilvl w:val="0"/>
        <w:numId w:val="0"/>
      </w:numPr>
      <w:jc w:val="left"/>
      <w:spacing w:lineRule="auto" w:line="240" w:before="0" w:after="0"/>
      <w:ind w:left="0" w:hanging="0"/>
      <w:tabs>
        <w:tab w:val="center" w:pos="4153"/>
        <w:tab w:val="right" w:pos="8306"/>
      </w:tabs>
      <w:rPr>
        <w:position w:val="0"/>
        <w:sz w:val="22"/>
        <w:szCs w:val="22"/>
        <w:rFonts w:ascii="Calibri" w:eastAsia="Calibri" w:hAnsi="Calibri" w:hint="default"/>
      </w:rPr>
    </w:pPr>
    <w:r>
      <w:fldChar w:fldCharType="begin"/>
    </w:r>
    <w:r>
      <w:instrText>PAGE  \* MERGEFORMAT</w:instrText>
    </w:r>
    <w:r>
      <w:fldChar w:fldCharType="separate"/>
    </w:r>
    <w:r>
      <w:rPr>
        <w:position w:val="0"/>
        <w:sz w:val="22"/>
        <w:szCs w:val="22"/>
        <w:rFonts w:ascii="Calibri" w:eastAsia="Calibri" w:hAnsi="Calibri" w:hint="default"/>
      </w:rPr>
      <w:t>1</w:t>
    </w:r>
    <w:r>
      <w:fldChar w:fldCharType="end"/>
    </w:r>
  </w:p>
  <w:p>
    <w:pPr>
      <w:pStyle w:val="PO155"/>
      <w:numPr>
        <w:ilvl w:val="0"/>
        <w:numId w:val="0"/>
      </w:numPr>
      <w:jc w:val="left"/>
      <w:spacing w:lineRule="auto" w:line="240" w:before="0" w:after="0"/>
      <w:ind w:left="0" w:hanging="0"/>
      <w:tabs>
        <w:tab w:val="center" w:pos="4153"/>
        <w:tab w:val="right" w:pos="8306"/>
      </w:tabs>
      <w:rPr>
        <w:position w:val="0"/>
        <w:sz w:val="22"/>
        <w:szCs w:val="22"/>
        <w:rFonts w:ascii="Calibri" w:eastAsia="Calibri" w:hAnsi="Calibri" w:hint="default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/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37" w:type="table">
    <w:name w:val="Table Grid"/>
    <w:basedOn w:val="PO3"/>
    <w:uiPriority w:val="37"/>
    <w:pPr/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styleId="PO151" w:type="character">
    <w:name w:val="Hyperlink"/>
    <w:basedOn w:val="PO2"/>
    <w:uiPriority w:val="151"/>
    <w:unhideWhenUsed/>
    <w:rPr>
      <w:color w:val="0563C1" w:themeColor="hyperlink"/>
      <w:shd w:val="clear"/>
      <w:sz w:val="20"/>
      <w:szCs w:val="20"/>
      <w:u w:val="single"/>
      <w:w w:val="100"/>
    </w:rPr>
  </w:style>
  <w:style w:styleId="PO152" w:type="character">
    <w:name w:val="FollowedHyperlink"/>
    <w:basedOn w:val="PO2"/>
    <w:uiPriority w:val="152"/>
    <w:semiHidden/>
    <w:unhideWhenUsed/>
    <w:rPr>
      <w:color w:val="954F72" w:themeColor="followedHyperlink"/>
      <w:shd w:val="clear"/>
      <w:sz w:val="20"/>
      <w:szCs w:val="20"/>
      <w:u w:val="single"/>
      <w:w w:val="100"/>
    </w:rPr>
  </w:style>
  <w:style w:styleId="PO153" w:type="paragraph">
    <w:name w:val="header"/>
    <w:basedOn w:val="PO1"/>
    <w:link w:val="PO154"/>
    <w:uiPriority w:val="153"/>
    <w:unhideWhenUsed/>
    <w:pPr>
      <w:tabs>
        <w:tab w:val="center" w:pos="4153"/>
        <w:tab w:val="right" w:pos="8306"/>
      </w:tabs>
    </w:pPr>
  </w:style>
  <w:style w:customStyle="1" w:styleId="PO154" w:type="character">
    <w:name w:val="Κεφαλίδα Char"/>
    <w:basedOn w:val="PO2"/>
    <w:link w:val="PO153"/>
    <w:uiPriority w:val="154"/>
  </w:style>
  <w:style w:styleId="PO155" w:type="paragraph">
    <w:name w:val="footer"/>
    <w:basedOn w:val="PO1"/>
    <w:link w:val="PO156"/>
    <w:uiPriority w:val="155"/>
    <w:unhideWhenUsed/>
    <w:pPr>
      <w:tabs>
        <w:tab w:val="center" w:pos="4153"/>
        <w:tab w:val="right" w:pos="8306"/>
      </w:tabs>
    </w:pPr>
  </w:style>
  <w:style w:customStyle="1" w:styleId="PO156" w:type="character">
    <w:name w:val="Υποσέλιδο Char"/>
    <w:basedOn w:val="PO2"/>
    <w:link w:val="PO155"/>
    <w:uiPriority w:val="156"/>
  </w:style>
  <w:style w:customStyle="1" w:styleId="PO157" w:type="character">
    <w:name w:val="apple-converted-space"/>
    <w:basedOn w:val="PO2"/>
    <w:uiPriority w:val="1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.gr/index.php/koinoniki-oikonomia/48-flexicurity" TargetMode="External"></Relationship><Relationship Id="rId6" Type="http://schemas.openxmlformats.org/officeDocument/2006/relationships/hyperlink" Target="http://www.grcrun11.gr/~theodore/EAP/EPO11/EPO11_Ergasia4CCL.pdf" TargetMode="External"></Relationship><Relationship Id="rId7" Type="http://schemas.openxmlformats.org/officeDocument/2006/relationships/footer" Target="footer2.xml"></Relationship><Relationship Id="rId8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40816</Characters>
  <CharactersWithSpaces>0</CharactersWithSpaces>
  <DocSecurity>0</DocSecurity>
  <HyperlinksChanged>false</HyperlinksChanged>
  <Lines>287</Lines>
  <LinksUpToDate>false</LinksUpToDate>
  <Pages>18</Pages>
  <Paragraphs>81</Paragraphs>
  <Words>6390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Σμαράγδα Σκορδή</dc:creator>
  <cp:lastModifiedBy>Σμαρώ Σκορδή</cp:lastModifiedBy>
  <dcterms:modified xsi:type="dcterms:W3CDTF">2015-01-06T23:48:00Z</dcterms:modified>
</cp:coreProperties>
</file>